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4" w:rsidRDefault="00E347B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40"/>
          <w:szCs w:val="40"/>
        </w:rPr>
        <w:t>PRESSEMITTEILUNG</w:t>
      </w:r>
    </w:p>
    <w:p w:rsidR="00D53074" w:rsidRDefault="00D53074">
      <w:pPr>
        <w:jc w:val="both"/>
        <w:rPr>
          <w:rFonts w:ascii="Calibri" w:hAnsi="Calibri" w:cs="Calibri"/>
        </w:rPr>
      </w:pPr>
    </w:p>
    <w:p w:rsidR="00AB3F30" w:rsidRDefault="00AB3F30">
      <w:pPr>
        <w:jc w:val="both"/>
        <w:rPr>
          <w:rFonts w:ascii="Arial" w:hAnsi="Arial" w:cs="Arial"/>
          <w:color w:val="000000" w:themeColor="text1"/>
        </w:rPr>
      </w:pPr>
    </w:p>
    <w:p w:rsidR="00D53074" w:rsidRPr="008D6EC0" w:rsidRDefault="00E347B4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1085C">
        <w:rPr>
          <w:rFonts w:ascii="Arial" w:hAnsi="Arial" w:cs="Arial"/>
          <w:color w:val="000000" w:themeColor="text1"/>
        </w:rPr>
        <w:t>Erlangen</w:t>
      </w:r>
      <w:r w:rsidR="00853396">
        <w:rPr>
          <w:rFonts w:ascii="Arial" w:hAnsi="Arial" w:cs="Arial"/>
          <w:color w:val="000000" w:themeColor="text1"/>
        </w:rPr>
        <w:t>/München</w:t>
      </w:r>
      <w:r w:rsidR="00395774">
        <w:rPr>
          <w:rFonts w:ascii="Arial" w:hAnsi="Arial" w:cs="Arial"/>
          <w:color w:val="000000" w:themeColor="text1"/>
        </w:rPr>
        <w:t>,</w:t>
      </w:r>
      <w:r w:rsidRPr="00C1085C">
        <w:rPr>
          <w:rFonts w:ascii="Arial" w:hAnsi="Arial" w:cs="Arial"/>
          <w:color w:val="000000" w:themeColor="text1"/>
        </w:rPr>
        <w:t xml:space="preserve"> </w:t>
      </w:r>
      <w:r w:rsidR="00EE4768" w:rsidRPr="008D6EC0">
        <w:rPr>
          <w:rFonts w:ascii="Arial" w:hAnsi="Arial" w:cs="Arial"/>
        </w:rPr>
        <w:t>22</w:t>
      </w:r>
      <w:r w:rsidRPr="00AC0371">
        <w:rPr>
          <w:rFonts w:ascii="Arial" w:hAnsi="Arial" w:cs="Arial"/>
        </w:rPr>
        <w:t>.</w:t>
      </w:r>
      <w:r w:rsidR="00AC0371" w:rsidRPr="00AC0371">
        <w:rPr>
          <w:rFonts w:ascii="Arial" w:hAnsi="Arial" w:cs="Arial"/>
        </w:rPr>
        <w:t>11</w:t>
      </w:r>
      <w:r w:rsidR="009352A2" w:rsidRPr="002E4BF3">
        <w:rPr>
          <w:rFonts w:ascii="Arial" w:hAnsi="Arial" w:cs="Arial"/>
          <w:color w:val="000000" w:themeColor="text1"/>
        </w:rPr>
        <w:t>.</w:t>
      </w:r>
      <w:r w:rsidRPr="00C1085C">
        <w:rPr>
          <w:rFonts w:ascii="Arial" w:hAnsi="Arial" w:cs="Arial"/>
          <w:color w:val="000000" w:themeColor="text1"/>
        </w:rPr>
        <w:t>2022</w:t>
      </w:r>
      <w:r w:rsidR="008D6EC0">
        <w:rPr>
          <w:rFonts w:ascii="Arial" w:hAnsi="Arial" w:cs="Arial"/>
          <w:color w:val="000000" w:themeColor="text1"/>
        </w:rPr>
        <w:tab/>
      </w:r>
      <w:r w:rsidR="008D6EC0">
        <w:rPr>
          <w:rFonts w:ascii="Arial" w:hAnsi="Arial" w:cs="Arial"/>
          <w:color w:val="000000" w:themeColor="text1"/>
        </w:rPr>
        <w:tab/>
      </w:r>
      <w:r w:rsidR="008D6EC0">
        <w:rPr>
          <w:rFonts w:ascii="Arial" w:hAnsi="Arial" w:cs="Arial"/>
          <w:color w:val="000000" w:themeColor="text1"/>
        </w:rPr>
        <w:tab/>
      </w:r>
    </w:p>
    <w:p w:rsidR="00C1085C" w:rsidRPr="00C1085C" w:rsidRDefault="00C1085C" w:rsidP="00C1085C">
      <w:pPr>
        <w:jc w:val="both"/>
        <w:rPr>
          <w:rFonts w:ascii="Arial" w:hAnsi="Arial" w:cs="Arial"/>
          <w:color w:val="000000" w:themeColor="text1"/>
        </w:rPr>
      </w:pPr>
    </w:p>
    <w:p w:rsidR="00A371A1" w:rsidRDefault="00A371A1" w:rsidP="00C1085C">
      <w:pPr>
        <w:jc w:val="both"/>
        <w:rPr>
          <w:rFonts w:ascii="Arial" w:hAnsi="Arial" w:cs="Arial"/>
          <w:b/>
          <w:color w:val="000000" w:themeColor="text1"/>
        </w:rPr>
      </w:pPr>
    </w:p>
    <w:p w:rsidR="008955A0" w:rsidRPr="003E66D0" w:rsidRDefault="00923A7F" w:rsidP="00C1085C">
      <w:pPr>
        <w:jc w:val="both"/>
        <w:rPr>
          <w:rFonts w:ascii="Arial" w:hAnsi="Arial" w:cs="Arial"/>
          <w:b/>
          <w:color w:val="000000" w:themeColor="text1"/>
        </w:rPr>
      </w:pPr>
      <w:r w:rsidRPr="003E66D0">
        <w:rPr>
          <w:rFonts w:ascii="Arial" w:hAnsi="Arial" w:cs="Arial"/>
          <w:b/>
          <w:color w:val="000000" w:themeColor="text1"/>
        </w:rPr>
        <w:t>Versorgungsforschung</w:t>
      </w:r>
      <w:r w:rsidR="009E6737" w:rsidRPr="003E66D0">
        <w:rPr>
          <w:rFonts w:ascii="Arial" w:hAnsi="Arial" w:cs="Arial"/>
          <w:b/>
          <w:color w:val="000000" w:themeColor="text1"/>
        </w:rPr>
        <w:t xml:space="preserve"> </w:t>
      </w:r>
      <w:r w:rsidR="007D6698" w:rsidRPr="003E66D0">
        <w:rPr>
          <w:rFonts w:ascii="Arial" w:hAnsi="Arial" w:cs="Arial"/>
          <w:b/>
          <w:color w:val="000000" w:themeColor="text1"/>
        </w:rPr>
        <w:t>zu</w:t>
      </w:r>
      <w:r w:rsidR="009E6737" w:rsidRPr="003E66D0">
        <w:rPr>
          <w:rFonts w:ascii="Arial" w:hAnsi="Arial" w:cs="Arial"/>
          <w:b/>
          <w:color w:val="000000" w:themeColor="text1"/>
        </w:rPr>
        <w:t xml:space="preserve"> Demenz</w:t>
      </w:r>
    </w:p>
    <w:p w:rsidR="00C1085C" w:rsidRPr="003E66D0" w:rsidRDefault="00C1085C" w:rsidP="00C1085C">
      <w:pPr>
        <w:jc w:val="both"/>
        <w:rPr>
          <w:rFonts w:ascii="Arial" w:hAnsi="Arial" w:cs="Arial"/>
          <w:color w:val="000000" w:themeColor="text1"/>
        </w:rPr>
      </w:pPr>
    </w:p>
    <w:p w:rsidR="003F5B96" w:rsidRPr="004A32B8" w:rsidRDefault="008C1CAA" w:rsidP="004A32B8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3E66D0">
        <w:rPr>
          <w:rFonts w:ascii="Arial" w:hAnsi="Arial" w:cs="Arial"/>
          <w:b/>
          <w:color w:val="000000" w:themeColor="text1"/>
          <w:sz w:val="28"/>
          <w:szCs w:val="28"/>
        </w:rPr>
        <w:t xml:space="preserve">digiDEM Bayern </w:t>
      </w:r>
      <w:r w:rsidR="007B43A7" w:rsidRPr="003E66D0">
        <w:rPr>
          <w:rFonts w:ascii="Arial" w:hAnsi="Arial" w:cs="Arial"/>
          <w:b/>
          <w:color w:val="000000" w:themeColor="text1"/>
          <w:sz w:val="28"/>
          <w:szCs w:val="28"/>
        </w:rPr>
        <w:t>erhält Förderbescheid</w:t>
      </w:r>
      <w:r w:rsidR="008D6EC0" w:rsidRPr="003E66D0">
        <w:rPr>
          <w:rFonts w:ascii="Arial" w:hAnsi="Arial" w:cs="Arial"/>
          <w:b/>
          <w:color w:val="000000" w:themeColor="text1"/>
          <w:sz w:val="28"/>
          <w:szCs w:val="28"/>
        </w:rPr>
        <w:t xml:space="preserve"> über 2,5 Mio. Euro</w:t>
      </w:r>
      <w:bookmarkStart w:id="0" w:name="_GoBack"/>
      <w:bookmarkEnd w:id="0"/>
    </w:p>
    <w:p w:rsidR="003F5B96" w:rsidRPr="003E66D0" w:rsidRDefault="003F5B96" w:rsidP="001E6D4E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9E6737" w:rsidRDefault="00F361C0" w:rsidP="001E6D4E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3E66D0">
        <w:rPr>
          <w:rFonts w:ascii="Arial" w:hAnsi="Arial" w:cs="Arial"/>
          <w:b/>
          <w:color w:val="000000" w:themeColor="text1"/>
        </w:rPr>
        <w:t xml:space="preserve">Große Freude beim </w:t>
      </w:r>
      <w:r w:rsidR="00B728D3" w:rsidRPr="003E66D0">
        <w:rPr>
          <w:rFonts w:ascii="Arial" w:hAnsi="Arial" w:cs="Arial"/>
          <w:b/>
          <w:color w:val="000000" w:themeColor="text1"/>
        </w:rPr>
        <w:t>Digitale</w:t>
      </w:r>
      <w:r w:rsidRPr="003E66D0">
        <w:rPr>
          <w:rFonts w:ascii="Arial" w:hAnsi="Arial" w:cs="Arial"/>
          <w:b/>
          <w:color w:val="000000" w:themeColor="text1"/>
        </w:rPr>
        <w:t>n</w:t>
      </w:r>
      <w:r w:rsidR="00B728D3" w:rsidRPr="003E66D0">
        <w:rPr>
          <w:rFonts w:ascii="Arial" w:hAnsi="Arial" w:cs="Arial"/>
          <w:b/>
          <w:color w:val="000000" w:themeColor="text1"/>
        </w:rPr>
        <w:t xml:space="preserve"> Demenzregister Bayern (digiDEM Bayern)</w:t>
      </w:r>
      <w:r w:rsidRPr="003E66D0">
        <w:rPr>
          <w:rFonts w:ascii="Arial" w:hAnsi="Arial" w:cs="Arial"/>
          <w:b/>
          <w:color w:val="000000" w:themeColor="text1"/>
        </w:rPr>
        <w:t>:</w:t>
      </w:r>
      <w:r w:rsidR="00B728D3" w:rsidRPr="003E66D0">
        <w:rPr>
          <w:rFonts w:ascii="Arial" w:hAnsi="Arial" w:cs="Arial"/>
          <w:b/>
          <w:color w:val="000000" w:themeColor="text1"/>
        </w:rPr>
        <w:t xml:space="preserve"> </w:t>
      </w:r>
      <w:r w:rsidRPr="003E66D0">
        <w:rPr>
          <w:rFonts w:ascii="Arial" w:hAnsi="Arial" w:cs="Arial"/>
          <w:b/>
          <w:color w:val="000000" w:themeColor="text1"/>
        </w:rPr>
        <w:t xml:space="preserve">Das Bayerische Staatsministerium für Gesundheit und Pflege (StMGP) verlängert die Laufzeit des Forschungsprojektes und stellt digiDEM Bayern einen entsprechenden </w:t>
      </w:r>
      <w:r w:rsidR="00923A7F" w:rsidRPr="003E66D0">
        <w:rPr>
          <w:rFonts w:ascii="Arial" w:hAnsi="Arial" w:cs="Arial"/>
          <w:b/>
          <w:color w:val="000000" w:themeColor="text1"/>
        </w:rPr>
        <w:t>Förderbescheid</w:t>
      </w:r>
      <w:r w:rsidR="001E6D4E" w:rsidRPr="003E66D0">
        <w:rPr>
          <w:rFonts w:ascii="Arial" w:hAnsi="Arial" w:cs="Arial"/>
          <w:b/>
          <w:color w:val="000000" w:themeColor="text1"/>
        </w:rPr>
        <w:t xml:space="preserve"> </w:t>
      </w:r>
      <w:r w:rsidR="008D6EC0" w:rsidRPr="003E66D0">
        <w:rPr>
          <w:rFonts w:ascii="Arial" w:hAnsi="Arial" w:cs="Arial"/>
          <w:b/>
          <w:color w:val="000000" w:themeColor="text1"/>
        </w:rPr>
        <w:t xml:space="preserve">über 2,5 Mio. Euro </w:t>
      </w:r>
      <w:r w:rsidRPr="003E66D0">
        <w:rPr>
          <w:rFonts w:ascii="Arial" w:hAnsi="Arial" w:cs="Arial"/>
          <w:b/>
          <w:color w:val="000000" w:themeColor="text1"/>
        </w:rPr>
        <w:t>aus.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E6737">
        <w:rPr>
          <w:rFonts w:ascii="Arial" w:hAnsi="Arial" w:cs="Arial"/>
          <w:b/>
          <w:color w:val="000000" w:themeColor="text1"/>
        </w:rPr>
        <w:t xml:space="preserve"> </w:t>
      </w:r>
    </w:p>
    <w:p w:rsidR="001E6D4E" w:rsidRDefault="001E6D4E" w:rsidP="001E6D4E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923A7F" w:rsidRDefault="00923A7F" w:rsidP="001E6D4E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Style w:val="docdata"/>
          <w:rFonts w:ascii="Arial" w:hAnsi="Arial" w:cs="Arial"/>
          <w:color w:val="000000"/>
        </w:rPr>
        <w:t xml:space="preserve">Gerade in den ländlichen Regionen Bayerns ist der Bedarf an wissenschaftlich abgesicherten Erkenntnissen über die Versorgungslage von Menschen mit Demenz sowie ihren pflegenden An- und Zugehörigen groß. Und der </w:t>
      </w:r>
      <w:r w:rsidRPr="00923A7F">
        <w:rPr>
          <w:rStyle w:val="docdata"/>
          <w:rFonts w:ascii="Arial" w:hAnsi="Arial" w:cs="Arial"/>
          <w:color w:val="000000"/>
        </w:rPr>
        <w:t xml:space="preserve">Bedarf steigt. </w:t>
      </w:r>
      <w:r w:rsidRPr="00923A7F">
        <w:rPr>
          <w:rFonts w:ascii="Arial" w:hAnsi="Arial" w:cs="Arial"/>
        </w:rPr>
        <w:t>Allein in Bayern leben derzeit mehr als 240.000 Menschen mit Demenz. Aufgrund der demografischen Entwicklung kann es bis 2030 zu einem Anstieg auf 300.000 Patienten kommen.</w:t>
      </w:r>
    </w:p>
    <w:p w:rsidR="00923A7F" w:rsidRDefault="00923A7F" w:rsidP="001E6D4E">
      <w:pPr>
        <w:spacing w:line="276" w:lineRule="auto"/>
        <w:rPr>
          <w:rFonts w:ascii="Arial" w:hAnsi="Arial" w:cs="Arial"/>
          <w:color w:val="000000" w:themeColor="text1"/>
        </w:rPr>
      </w:pPr>
    </w:p>
    <w:p w:rsidR="007B43A7" w:rsidRPr="00842F16" w:rsidRDefault="00BC78C7" w:rsidP="008D6EC0">
      <w:pPr>
        <w:spacing w:line="276" w:lineRule="auto"/>
        <w:rPr>
          <w:rFonts w:ascii="Arial" w:hAnsi="Arial" w:cs="Arial"/>
        </w:rPr>
      </w:pPr>
      <w:r w:rsidRPr="003A6C5D">
        <w:rPr>
          <w:rFonts w:ascii="Arial" w:hAnsi="Arial" w:cs="Arial"/>
          <w:color w:val="000000" w:themeColor="text1"/>
        </w:rPr>
        <w:t xml:space="preserve">„Wir sind im Januar 2019 gestartet, um die Lebensbedingungen von Menschen mit Demenz und ihren </w:t>
      </w:r>
      <w:r w:rsidR="00D46FC3" w:rsidRPr="003A6C5D">
        <w:rPr>
          <w:rFonts w:ascii="Arial" w:hAnsi="Arial" w:cs="Arial"/>
          <w:color w:val="000000" w:themeColor="text1"/>
        </w:rPr>
        <w:t>Z</w:t>
      </w:r>
      <w:r w:rsidRPr="003A6C5D">
        <w:rPr>
          <w:rFonts w:ascii="Arial" w:hAnsi="Arial" w:cs="Arial"/>
          <w:color w:val="000000" w:themeColor="text1"/>
        </w:rPr>
        <w:t>u- und Angehörigen zu verbessern</w:t>
      </w:r>
      <w:r w:rsidR="007B43A7">
        <w:rPr>
          <w:rFonts w:ascii="Arial" w:hAnsi="Arial" w:cs="Arial"/>
          <w:color w:val="000000" w:themeColor="text1"/>
        </w:rPr>
        <w:t xml:space="preserve">. </w:t>
      </w:r>
      <w:r w:rsidR="002253EB" w:rsidRPr="003A6C5D">
        <w:rPr>
          <w:rFonts w:ascii="Arial" w:hAnsi="Arial" w:cs="Arial"/>
        </w:rPr>
        <w:t xml:space="preserve">Deshalb bauen wir ein digitales Register in Bayern </w:t>
      </w:r>
      <w:r w:rsidR="003A6C5D" w:rsidRPr="003A6C5D">
        <w:rPr>
          <w:rFonts w:ascii="Arial" w:hAnsi="Arial" w:cs="Arial"/>
        </w:rPr>
        <w:t>auf</w:t>
      </w:r>
      <w:r w:rsidR="002253EB" w:rsidRPr="00842F16">
        <w:rPr>
          <w:rFonts w:ascii="Arial" w:hAnsi="Arial" w:cs="Arial"/>
        </w:rPr>
        <w:t>, um den Langzeitverlauf demenzieller Er</w:t>
      </w:r>
      <w:r w:rsidR="007B43A7" w:rsidRPr="00842F16">
        <w:rPr>
          <w:rFonts w:ascii="Arial" w:hAnsi="Arial" w:cs="Arial"/>
        </w:rPr>
        <w:t xml:space="preserve">krankungen besser zu verstehen“, erläutert </w:t>
      </w:r>
      <w:r w:rsidR="008D6EC0" w:rsidRPr="00842F16">
        <w:rPr>
          <w:rFonts w:ascii="Arial" w:hAnsi="Arial" w:cs="Arial"/>
        </w:rPr>
        <w:t xml:space="preserve">der Neurologe und digiDEM Bayern-Projektleiter </w:t>
      </w:r>
      <w:r w:rsidR="008D6EC0" w:rsidRPr="00842F16">
        <w:rPr>
          <w:rFonts w:ascii="Arial" w:hAnsi="Arial" w:cs="Arial"/>
          <w:color w:val="000000" w:themeColor="text1"/>
        </w:rPr>
        <w:t>Prof. Dr. Peter Kolominsky-Rabas.</w:t>
      </w:r>
      <w:r w:rsidR="008D6EC0" w:rsidRPr="00842F16">
        <w:rPr>
          <w:rFonts w:ascii="Arial" w:hAnsi="Arial" w:cs="Arial"/>
        </w:rPr>
        <w:t xml:space="preserve"> </w:t>
      </w:r>
      <w:r w:rsidR="007B43A7" w:rsidRPr="00842F16">
        <w:rPr>
          <w:rFonts w:ascii="Arial" w:hAnsi="Arial" w:cs="Arial"/>
          <w:color w:val="000000" w:themeColor="text1"/>
        </w:rPr>
        <w:t xml:space="preserve">Mit Unterstützung der digiDEM Bayern-Forschungspartner*innen werden in </w:t>
      </w:r>
      <w:r w:rsidR="00C308AA" w:rsidRPr="00842F16">
        <w:rPr>
          <w:rFonts w:ascii="Arial" w:hAnsi="Arial" w:cs="Arial"/>
          <w:color w:val="000000" w:themeColor="text1"/>
        </w:rPr>
        <w:t>ganz Bayern</w:t>
      </w:r>
      <w:r w:rsidR="007B43A7" w:rsidRPr="00842F16">
        <w:rPr>
          <w:rFonts w:ascii="Arial" w:hAnsi="Arial" w:cs="Arial"/>
          <w:color w:val="000000" w:themeColor="text1"/>
        </w:rPr>
        <w:t xml:space="preserve"> Langzeitdaten zur Versorgung und Behandlung von Menschen mit Demenz sowie ihren pflegenden Angehörigen erfasst. </w:t>
      </w:r>
    </w:p>
    <w:p w:rsidR="00C308AA" w:rsidRPr="00842F16" w:rsidRDefault="00C308AA" w:rsidP="007B43A7">
      <w:pPr>
        <w:spacing w:line="276" w:lineRule="auto"/>
        <w:rPr>
          <w:rFonts w:ascii="Arial" w:hAnsi="Arial" w:cs="Arial"/>
          <w:color w:val="000000" w:themeColor="text1"/>
        </w:rPr>
      </w:pPr>
    </w:p>
    <w:p w:rsidR="00C308AA" w:rsidRPr="00842F16" w:rsidRDefault="00C308AA" w:rsidP="007B43A7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842F16">
        <w:rPr>
          <w:rFonts w:ascii="Arial" w:hAnsi="Arial" w:cs="Arial"/>
          <w:b/>
          <w:color w:val="000000" w:themeColor="text1"/>
        </w:rPr>
        <w:t>Hohe Wertschätzung</w:t>
      </w:r>
    </w:p>
    <w:p w:rsidR="002253EB" w:rsidRPr="00842F16" w:rsidRDefault="002253EB" w:rsidP="00167F00">
      <w:pPr>
        <w:spacing w:line="276" w:lineRule="auto"/>
        <w:rPr>
          <w:rFonts w:ascii="Arial" w:hAnsi="Arial" w:cs="Arial"/>
        </w:rPr>
      </w:pPr>
    </w:p>
    <w:p w:rsidR="00853CBF" w:rsidRDefault="00853CBF" w:rsidP="00A12F12">
      <w:pPr>
        <w:spacing w:line="276" w:lineRule="auto"/>
        <w:rPr>
          <w:rFonts w:ascii="Arial" w:hAnsi="Arial" w:cs="Arial"/>
        </w:rPr>
      </w:pPr>
      <w:r w:rsidRPr="00842F16">
        <w:rPr>
          <w:rFonts w:ascii="Arial" w:hAnsi="Arial" w:cs="Arial"/>
        </w:rPr>
        <w:t>F</w:t>
      </w:r>
      <w:r w:rsidR="007B43A7" w:rsidRPr="00842F16">
        <w:rPr>
          <w:rFonts w:ascii="Arial" w:hAnsi="Arial" w:cs="Arial"/>
        </w:rPr>
        <w:t>ür den Bewilligungszeitraum von</w:t>
      </w:r>
      <w:r w:rsidR="007B43A7" w:rsidRPr="00D46FC3">
        <w:rPr>
          <w:rFonts w:ascii="Arial" w:hAnsi="Arial" w:cs="Arial"/>
        </w:rPr>
        <w:t xml:space="preserve"> 01.01.2023 bis 31.12.2024 fördert </w:t>
      </w:r>
      <w:r w:rsidR="007B43A7" w:rsidRPr="00D46FC3">
        <w:rPr>
          <w:rFonts w:ascii="Arial" w:hAnsi="Arial" w:cs="Arial"/>
          <w:color w:val="000000" w:themeColor="text1"/>
        </w:rPr>
        <w:t>das Bayerische Staatsministerium für Gesundheit und Pflege (StMGP)</w:t>
      </w:r>
      <w:r w:rsidR="007B43A7" w:rsidRPr="00D46FC3">
        <w:rPr>
          <w:rFonts w:ascii="Arial" w:hAnsi="Arial" w:cs="Arial"/>
        </w:rPr>
        <w:t xml:space="preserve"> </w:t>
      </w:r>
      <w:r w:rsidR="007B43A7">
        <w:rPr>
          <w:rFonts w:ascii="Arial" w:hAnsi="Arial" w:cs="Arial"/>
        </w:rPr>
        <w:t xml:space="preserve">digiDEM Bayern </w:t>
      </w:r>
      <w:r w:rsidR="007B43A7" w:rsidRPr="00D46FC3">
        <w:rPr>
          <w:rFonts w:ascii="Arial" w:hAnsi="Arial" w:cs="Arial"/>
        </w:rPr>
        <w:t xml:space="preserve">mit 2,5 Millionen Euro. </w:t>
      </w:r>
      <w:r w:rsidR="00167F00">
        <w:rPr>
          <w:rFonts w:ascii="Arial" w:hAnsi="Arial" w:cs="Arial"/>
          <w:color w:val="000000" w:themeColor="text1"/>
        </w:rPr>
        <w:t>„</w:t>
      </w:r>
      <w:r w:rsidR="007B43A7">
        <w:rPr>
          <w:rFonts w:ascii="Arial" w:hAnsi="Arial" w:cs="Arial"/>
          <w:color w:val="000000" w:themeColor="text1"/>
        </w:rPr>
        <w:t>Das</w:t>
      </w:r>
      <w:r w:rsidR="00167F00">
        <w:rPr>
          <w:rFonts w:ascii="Arial" w:hAnsi="Arial" w:cs="Arial"/>
          <w:color w:val="000000" w:themeColor="text1"/>
        </w:rPr>
        <w:t xml:space="preserve"> bedeutet für uns und unsere Forschungspartner*innen in ganz Bayern eine hohe Wertschätzung unserer wissenschaftlichen Anstrengungen.</w:t>
      </w:r>
      <w:r w:rsidR="00C308AA">
        <w:rPr>
          <w:rFonts w:ascii="Arial" w:hAnsi="Arial" w:cs="Arial"/>
          <w:color w:val="000000" w:themeColor="text1"/>
        </w:rPr>
        <w:t xml:space="preserve"> Zugleich ist es uns Motivation, auch weiterhin zu Demenzfrüherkennung beizutragen und für dieses wichtige Thema zu sensibilisieren.“</w:t>
      </w:r>
      <w:r w:rsidR="00C308AA">
        <w:rPr>
          <w:rFonts w:ascii="Arial" w:hAnsi="Arial" w:cs="Arial"/>
        </w:rPr>
        <w:t xml:space="preserve"> </w:t>
      </w:r>
      <w:r w:rsidR="00C308AA">
        <w:rPr>
          <w:rFonts w:ascii="Arial" w:hAnsi="Arial" w:cs="Arial"/>
          <w:color w:val="000000" w:themeColor="text1"/>
        </w:rPr>
        <w:t xml:space="preserve">Die Fördergelder kommen sowohl dem weiteren Aufbau des digitalen Demenzregisters als auch der Entwicklung neuartiger </w:t>
      </w:r>
      <w:r w:rsidR="00C308AA" w:rsidRPr="001E6D4E">
        <w:rPr>
          <w:rFonts w:ascii="Arial" w:hAnsi="Arial" w:cs="Arial"/>
          <w:color w:val="000000" w:themeColor="text1"/>
        </w:rPr>
        <w:t>digitale</w:t>
      </w:r>
      <w:r w:rsidR="00C308AA">
        <w:rPr>
          <w:rFonts w:ascii="Arial" w:hAnsi="Arial" w:cs="Arial"/>
          <w:color w:val="000000" w:themeColor="text1"/>
        </w:rPr>
        <w:t>r</w:t>
      </w:r>
      <w:r w:rsidR="00C308AA" w:rsidRPr="001E6D4E">
        <w:rPr>
          <w:rFonts w:ascii="Arial" w:hAnsi="Arial" w:cs="Arial"/>
          <w:color w:val="000000" w:themeColor="text1"/>
        </w:rPr>
        <w:t xml:space="preserve"> Unterstützungsangebote</w:t>
      </w:r>
      <w:r w:rsidR="00C308AA">
        <w:rPr>
          <w:rFonts w:ascii="Arial" w:hAnsi="Arial" w:cs="Arial"/>
          <w:color w:val="000000" w:themeColor="text1"/>
        </w:rPr>
        <w:t xml:space="preserve"> zu Gute.</w:t>
      </w:r>
    </w:p>
    <w:p w:rsidR="008D6EC0" w:rsidRDefault="008D6EC0" w:rsidP="00C308AA">
      <w:pPr>
        <w:spacing w:line="276" w:lineRule="auto"/>
        <w:rPr>
          <w:rFonts w:ascii="Arial" w:hAnsi="Arial" w:cs="Arial"/>
        </w:rPr>
      </w:pPr>
    </w:p>
    <w:p w:rsidR="004A32B8" w:rsidRDefault="004A32B8" w:rsidP="00C308AA">
      <w:pPr>
        <w:spacing w:line="276" w:lineRule="auto"/>
        <w:rPr>
          <w:rFonts w:ascii="Arial" w:hAnsi="Arial" w:cs="Arial"/>
        </w:rPr>
      </w:pPr>
    </w:p>
    <w:p w:rsidR="004A32B8" w:rsidRDefault="004A32B8" w:rsidP="00C308AA">
      <w:pPr>
        <w:spacing w:line="276" w:lineRule="auto"/>
        <w:rPr>
          <w:rFonts w:ascii="Arial" w:hAnsi="Arial" w:cs="Arial"/>
        </w:rPr>
      </w:pPr>
    </w:p>
    <w:p w:rsidR="004A32B8" w:rsidRDefault="004A32B8" w:rsidP="00C308AA">
      <w:pPr>
        <w:spacing w:line="276" w:lineRule="auto"/>
        <w:rPr>
          <w:rFonts w:ascii="Arial" w:hAnsi="Arial" w:cs="Arial"/>
        </w:rPr>
      </w:pPr>
    </w:p>
    <w:p w:rsidR="008D6EC0" w:rsidRDefault="00C308AA" w:rsidP="00C308AA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digiDEM Bayern</w:t>
      </w:r>
      <w:r w:rsidR="00A12F12">
        <w:rPr>
          <w:rFonts w:ascii="Arial" w:hAnsi="Arial" w:cs="Arial"/>
        </w:rPr>
        <w:t xml:space="preserve"> ist </w:t>
      </w:r>
      <w:r w:rsidR="00A12F12" w:rsidRPr="00B67D17">
        <w:rPr>
          <w:rFonts w:ascii="Arial" w:hAnsi="Arial" w:cs="Arial"/>
          <w:color w:val="000000" w:themeColor="text1"/>
        </w:rPr>
        <w:t>ein interdisziplinäres Forschungsprojekt</w:t>
      </w:r>
      <w:r w:rsidR="008D6EC0">
        <w:rPr>
          <w:rFonts w:ascii="Arial" w:hAnsi="Arial" w:cs="Arial"/>
          <w:color w:val="000000" w:themeColor="text1"/>
        </w:rPr>
        <w:t xml:space="preserve"> der </w:t>
      </w:r>
    </w:p>
    <w:p w:rsidR="00E9269D" w:rsidRPr="00C308AA" w:rsidRDefault="008D6EC0" w:rsidP="00C308AA">
      <w:pPr>
        <w:spacing w:line="276" w:lineRule="auto"/>
        <w:rPr>
          <w:rStyle w:val="docdata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Friedrich-Alexander-</w:t>
      </w:r>
      <w:r w:rsidR="00A12F12" w:rsidRPr="00B67D17">
        <w:rPr>
          <w:rFonts w:ascii="Arial" w:hAnsi="Arial" w:cs="Arial"/>
          <w:color w:val="000000" w:themeColor="text1"/>
        </w:rPr>
        <w:t xml:space="preserve">Universität Erlangen-Nürnberg, des Universitätsklinikums Erlangen und des Innovationsclusters Medical Valley Europäische Metropolregion Nürnberg. </w:t>
      </w:r>
      <w:r w:rsidR="00853CBF" w:rsidRPr="00B67D17">
        <w:rPr>
          <w:rFonts w:ascii="Arial" w:hAnsi="Arial" w:cs="Arial"/>
          <w:color w:val="000000" w:themeColor="text1"/>
        </w:rPr>
        <w:t>Gefördert wird das Projekt vom Bayerischen Staatsministerium für</w:t>
      </w:r>
      <w:r w:rsidR="00853CBF">
        <w:rPr>
          <w:rFonts w:ascii="Arial" w:hAnsi="Arial" w:cs="Arial"/>
          <w:color w:val="000000" w:themeColor="text1"/>
        </w:rPr>
        <w:t xml:space="preserve"> Gesundheit und Pflege (StMGP) im </w:t>
      </w:r>
      <w:r w:rsidR="00853CBF" w:rsidRPr="00B67D17">
        <w:rPr>
          <w:rFonts w:ascii="Arial" w:hAnsi="Arial" w:cs="Arial"/>
          <w:color w:val="000000" w:themeColor="text1"/>
        </w:rPr>
        <w:t>Rahmen des Masterplans „BAYERN</w:t>
      </w:r>
      <w:r w:rsidR="00842F16">
        <w:rPr>
          <w:rFonts w:ascii="Arial" w:hAnsi="Arial" w:cs="Arial"/>
          <w:color w:val="000000" w:themeColor="text1"/>
        </w:rPr>
        <w:t xml:space="preserve"> DIGITAL II“ der Bayerischen Staatsregierung.</w:t>
      </w:r>
    </w:p>
    <w:p w:rsidR="004C726A" w:rsidRDefault="004C726A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:rsidR="00332463" w:rsidRPr="00B67D17" w:rsidRDefault="00332463" w:rsidP="00332463">
      <w:pPr>
        <w:rPr>
          <w:rFonts w:ascii="Arial" w:hAnsi="Arial" w:cs="Arial"/>
          <w:b/>
          <w:color w:val="000000" w:themeColor="text1"/>
        </w:rPr>
      </w:pPr>
      <w:r w:rsidRPr="00B67D17">
        <w:rPr>
          <w:rFonts w:ascii="Arial" w:hAnsi="Arial" w:cs="Arial"/>
          <w:b/>
          <w:color w:val="000000" w:themeColor="text1"/>
        </w:rPr>
        <w:t>Pressekontakt</w:t>
      </w:r>
      <w:r>
        <w:rPr>
          <w:rFonts w:ascii="Arial" w:hAnsi="Arial" w:cs="Arial"/>
          <w:b/>
          <w:color w:val="000000" w:themeColor="text1"/>
        </w:rPr>
        <w:t>:</w:t>
      </w:r>
    </w:p>
    <w:p w:rsidR="00332463" w:rsidRPr="00B67D17" w:rsidRDefault="00332463" w:rsidP="00332463">
      <w:pPr>
        <w:rPr>
          <w:rFonts w:ascii="Arial" w:hAnsi="Arial" w:cs="Arial"/>
          <w:b/>
          <w:color w:val="000000" w:themeColor="text1"/>
        </w:rPr>
      </w:pPr>
    </w:p>
    <w:p w:rsidR="00332463" w:rsidRPr="00F3507F" w:rsidRDefault="00332463" w:rsidP="003324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Ilona Hörath</w:t>
      </w:r>
    </w:p>
    <w:p w:rsidR="00332463" w:rsidRPr="00F3507F" w:rsidRDefault="00332463" w:rsidP="003324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 xml:space="preserve">Pressereferentin </w:t>
      </w:r>
    </w:p>
    <w:p w:rsidR="00332463" w:rsidRPr="00F3507F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Tel: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  <w:t>+49-9131-85-35858</w:t>
      </w:r>
    </w:p>
    <w:p w:rsidR="00332463" w:rsidRPr="00F3507F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Mobil: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  <w:t>+49 163-883 884 5</w:t>
      </w:r>
    </w:p>
    <w:p w:rsidR="00332463" w:rsidRPr="00F3507F" w:rsidRDefault="00332463" w:rsidP="003324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E-Mail:</w:t>
      </w:r>
      <w:r w:rsidR="00605905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hyperlink r:id="rId7" w:tooltip="mailto:ilona.hoerath@fau.de" w:history="1">
        <w:r w:rsidRPr="00F3507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ilona.hoerath@fau.de</w:t>
        </w:r>
      </w:hyperlink>
      <w:r w:rsidRPr="00F3507F">
        <w:rPr>
          <w:rFonts w:ascii="Arial" w:hAnsi="Arial" w:cs="Arial"/>
          <w:color w:val="000000" w:themeColor="text1"/>
          <w:sz w:val="22"/>
          <w:szCs w:val="22"/>
        </w:rPr>
        <w:br/>
        <w:t>Web:       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hyperlink r:id="rId8" w:tooltip="http://www.digidem-bayern.de/" w:history="1">
        <w:r w:rsidRPr="00F3507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www.digidem-bayern.de</w:t>
        </w:r>
      </w:hyperlink>
    </w:p>
    <w:p w:rsidR="00332463" w:rsidRDefault="00332463" w:rsidP="003324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</w:rPr>
      </w:pPr>
    </w:p>
    <w:p w:rsidR="00F3507F" w:rsidRDefault="00F3507F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332463" w:rsidRPr="00B67D17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b/>
          <w:bCs/>
          <w:color w:val="000000" w:themeColor="text1"/>
        </w:rPr>
        <w:t>Digitales Demenzregister Bayern - digiDEM Bayern</w:t>
      </w:r>
    </w:p>
    <w:p w:rsidR="00332463" w:rsidRPr="00B67D17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 </w:t>
      </w:r>
    </w:p>
    <w:p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Interdisziplinäres Zentrum für Health Technology Assessment (HTA) und Public Health</w:t>
      </w:r>
      <w:r w:rsidRPr="0005616D">
        <w:rPr>
          <w:rFonts w:ascii="Arial" w:hAnsi="Arial" w:cs="Arial"/>
          <w:color w:val="000000" w:themeColor="text1"/>
          <w:sz w:val="22"/>
          <w:szCs w:val="22"/>
        </w:rPr>
        <w:br/>
        <w:t>Friedrich-Alexander-Universität Erlangen-Nürnberg (IZPH)</w:t>
      </w:r>
      <w:r w:rsidRPr="0005616D">
        <w:rPr>
          <w:rFonts w:ascii="Arial" w:hAnsi="Arial" w:cs="Arial"/>
          <w:color w:val="000000" w:themeColor="text1"/>
          <w:sz w:val="22"/>
          <w:szCs w:val="22"/>
        </w:rPr>
        <w:br/>
        <w:t>Nationales Spitzencluster ‚Exzellenzzentrum für Medizintechnik – Medical Valley EMN‘</w:t>
      </w:r>
    </w:p>
    <w:p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Schwabachanlage 6</w:t>
      </w:r>
    </w:p>
    <w:p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91054 Erlangen</w:t>
      </w:r>
    </w:p>
    <w:p w:rsidR="004C726A" w:rsidRDefault="004C726A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:rsidR="00332463" w:rsidRPr="004978ED" w:rsidRDefault="00332463" w:rsidP="00C108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53074" w:rsidRDefault="00E347B4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67D17">
        <w:rPr>
          <w:rFonts w:ascii="Arial" w:hAnsi="Arial" w:cs="Arial"/>
          <w:b/>
          <w:color w:val="000000" w:themeColor="text1"/>
        </w:rPr>
        <w:t>Über digiDEM Bayern</w:t>
      </w:r>
    </w:p>
    <w:p w:rsidR="00B67D17" w:rsidRPr="00B67D17" w:rsidRDefault="00B67D1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D53074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digiDEM Bayern baut ein digitales Demenzregister für Bayern auf, um den Langzeitverlauf der Erkrankung besser zu verstehen und die Versorgungssituation von Menschen mit Demenz und deren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>gehörigen in ganz Bayern zu verbessern. Dafür werden Menschen mit leichten kognitiven Beeinträchtigungen oder Demenz und ihre pflegenden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 xml:space="preserve">gehörigen zu ihrer Situation systematisch befragt. </w:t>
      </w:r>
    </w:p>
    <w:p w:rsidR="00D53074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 </w:t>
      </w:r>
    </w:p>
    <w:p w:rsidR="003E66D0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Darüber hinaus entwickelt digiDEM Bayern digitale Angebote für Menschen mit kognitiven Einschränkungen und Demenz sowie für pflegende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>gehörige und ehrenamtliche Helfer*innen. So gibt es zum Beispiel die „</w:t>
      </w:r>
      <w:r w:rsidRPr="00332463">
        <w:rPr>
          <w:rFonts w:ascii="Arial" w:hAnsi="Arial" w:cs="Arial"/>
          <w:b/>
          <w:color w:val="000000" w:themeColor="text1"/>
        </w:rPr>
        <w:t>Angehörigenampel</w:t>
      </w:r>
      <w:r w:rsidRPr="00B67D17">
        <w:rPr>
          <w:rFonts w:ascii="Arial" w:hAnsi="Arial" w:cs="Arial"/>
          <w:color w:val="000000" w:themeColor="text1"/>
        </w:rPr>
        <w:t>“, einen kostenlosen, anonymen Selbsttest, der pflegenden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 xml:space="preserve">gehörigen mittels gezielter Fragen den Grad ihrer persönlichen Belastung anzeigt und ihnen damit einen Anstoß zur Veränderung der Lebenssituation gibt. Zu den weiteren digitalen Angeboten gehören unter anderem ein </w:t>
      </w:r>
      <w:r w:rsidRPr="008314C5">
        <w:rPr>
          <w:rFonts w:ascii="Arial" w:hAnsi="Arial" w:cs="Arial"/>
          <w:b/>
        </w:rPr>
        <w:t>Hörtest</w:t>
      </w:r>
      <w:r w:rsidRPr="008314C5">
        <w:rPr>
          <w:rFonts w:ascii="Arial" w:hAnsi="Arial" w:cs="Arial"/>
        </w:rPr>
        <w:t xml:space="preserve">, </w:t>
      </w:r>
      <w:r w:rsidR="005F7A2D" w:rsidRPr="008314C5">
        <w:rPr>
          <w:rFonts w:ascii="Arial" w:hAnsi="Arial" w:cs="Arial"/>
        </w:rPr>
        <w:t xml:space="preserve">ein </w:t>
      </w:r>
      <w:r w:rsidR="005F7A2D" w:rsidRPr="008314C5">
        <w:rPr>
          <w:rFonts w:ascii="Arial" w:hAnsi="Arial" w:cs="Arial"/>
          <w:b/>
        </w:rPr>
        <w:t>Wissenstest Demenz</w:t>
      </w:r>
      <w:r w:rsidR="005F7A2D" w:rsidRPr="008314C5">
        <w:rPr>
          <w:rFonts w:ascii="Arial" w:hAnsi="Arial" w:cs="Arial"/>
        </w:rPr>
        <w:t xml:space="preserve">, </w:t>
      </w:r>
      <w:r w:rsidR="0032177B" w:rsidRPr="008314C5">
        <w:rPr>
          <w:rFonts w:ascii="Arial" w:hAnsi="Arial" w:cs="Arial"/>
        </w:rPr>
        <w:t>ein</w:t>
      </w:r>
      <w:r w:rsidR="005F7A2D" w:rsidRPr="008314C5">
        <w:rPr>
          <w:rFonts w:ascii="Arial" w:hAnsi="Arial" w:cs="Arial"/>
        </w:rPr>
        <w:t xml:space="preserve"> </w:t>
      </w:r>
      <w:r w:rsidR="005F7A2D" w:rsidRPr="008314C5">
        <w:rPr>
          <w:rFonts w:ascii="Arial" w:hAnsi="Arial" w:cs="Arial"/>
          <w:b/>
        </w:rPr>
        <w:t xml:space="preserve">Online-Fragebogen, mit dem </w:t>
      </w:r>
      <w:r w:rsidR="00445FF3" w:rsidRPr="008314C5">
        <w:rPr>
          <w:rFonts w:ascii="Arial" w:hAnsi="Arial" w:cs="Arial"/>
          <w:b/>
        </w:rPr>
        <w:t>nahestehende Personen von Betroffenen</w:t>
      </w:r>
      <w:r w:rsidR="0032177B" w:rsidRPr="008314C5">
        <w:rPr>
          <w:rFonts w:ascii="Arial" w:hAnsi="Arial" w:cs="Arial"/>
          <w:b/>
        </w:rPr>
        <w:t xml:space="preserve"> </w:t>
      </w:r>
      <w:r w:rsidR="00445FF3" w:rsidRPr="008314C5">
        <w:rPr>
          <w:rFonts w:ascii="Arial" w:hAnsi="Arial" w:cs="Arial"/>
          <w:b/>
        </w:rPr>
        <w:t>deren kognitiven Abbau einschätzen können</w:t>
      </w:r>
      <w:r w:rsidR="005F7A2D" w:rsidRPr="008314C5">
        <w:rPr>
          <w:rFonts w:ascii="Arial" w:hAnsi="Arial" w:cs="Arial"/>
        </w:rPr>
        <w:t xml:space="preserve"> </w:t>
      </w:r>
      <w:r w:rsidR="0032177B" w:rsidRPr="008314C5">
        <w:rPr>
          <w:rFonts w:ascii="Arial" w:hAnsi="Arial" w:cs="Arial"/>
        </w:rPr>
        <w:t xml:space="preserve">und </w:t>
      </w:r>
      <w:r w:rsidRPr="008314C5">
        <w:rPr>
          <w:rFonts w:ascii="Arial" w:hAnsi="Arial" w:cs="Arial"/>
          <w:b/>
        </w:rPr>
        <w:t>Live</w:t>
      </w:r>
      <w:r w:rsidRPr="00332463">
        <w:rPr>
          <w:rFonts w:ascii="Arial" w:hAnsi="Arial" w:cs="Arial"/>
          <w:b/>
          <w:color w:val="000000" w:themeColor="text1"/>
        </w:rPr>
        <w:t>-Webinare</w:t>
      </w:r>
      <w:r w:rsidRPr="00B67D17">
        <w:rPr>
          <w:rFonts w:ascii="Arial" w:hAnsi="Arial" w:cs="Arial"/>
          <w:color w:val="000000" w:themeColor="text1"/>
        </w:rPr>
        <w:t xml:space="preserve"> inklusive Mediathek und der </w:t>
      </w:r>
      <w:r w:rsidRPr="00332463">
        <w:rPr>
          <w:rFonts w:ascii="Arial" w:hAnsi="Arial" w:cs="Arial"/>
          <w:b/>
          <w:color w:val="000000" w:themeColor="text1"/>
        </w:rPr>
        <w:t>Science Watch-Newsletter</w:t>
      </w:r>
      <w:r w:rsidRPr="00B67D17">
        <w:rPr>
          <w:rFonts w:ascii="Arial" w:hAnsi="Arial" w:cs="Arial"/>
          <w:color w:val="000000" w:themeColor="text1"/>
        </w:rPr>
        <w:t>.</w:t>
      </w:r>
    </w:p>
    <w:p w:rsidR="00D53074" w:rsidRDefault="00D53074">
      <w:pPr>
        <w:spacing w:line="276" w:lineRule="auto"/>
        <w:rPr>
          <w:rFonts w:ascii="Arial" w:hAnsi="Arial" w:cs="Arial"/>
          <w:color w:val="000000" w:themeColor="text1"/>
        </w:rPr>
      </w:pPr>
    </w:p>
    <w:p w:rsidR="0070222B" w:rsidRPr="00C308AA" w:rsidRDefault="005F7A2D" w:rsidP="00C308A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07419">
        <w:rPr>
          <w:rFonts w:ascii="Arial" w:hAnsi="Arial" w:cs="Arial"/>
          <w:b/>
          <w:color w:val="000000" w:themeColor="text1"/>
        </w:rPr>
        <w:t>Mehr Infos:</w:t>
      </w:r>
      <w:r w:rsidR="00C308AA">
        <w:rPr>
          <w:rFonts w:ascii="Arial" w:hAnsi="Arial" w:cs="Arial"/>
          <w:b/>
          <w:color w:val="000000" w:themeColor="text1"/>
        </w:rPr>
        <w:t xml:space="preserve"> </w:t>
      </w:r>
      <w:r w:rsidRPr="00FF7BAF">
        <w:rPr>
          <w:rFonts w:ascii="Arial" w:hAnsi="Arial" w:cs="Arial"/>
          <w:color w:val="000000" w:themeColor="text1"/>
        </w:rPr>
        <w:t>https://digidem-bayern.de</w:t>
      </w:r>
    </w:p>
    <w:sectPr w:rsidR="0070222B" w:rsidRPr="00C30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D8" w:rsidRDefault="004A77D8">
      <w:r>
        <w:separator/>
      </w:r>
    </w:p>
  </w:endnote>
  <w:endnote w:type="continuationSeparator" w:id="0">
    <w:p w:rsidR="004A77D8" w:rsidRDefault="004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altName w:val="Calibri"/>
    <w:charset w:val="00"/>
    <w:family w:val="auto"/>
    <w:pitch w:val="default"/>
  </w:font>
  <w:font w:name="metaot-normit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352282"/>
      <w:docPartObj>
        <w:docPartGallery w:val="Page Numbers (Bottom of Page)"/>
        <w:docPartUnique/>
      </w:docPartObj>
    </w:sdtPr>
    <w:sdtEndPr/>
    <w:sdtContent>
      <w:p w:rsidR="00D53074" w:rsidRDefault="00E347B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2B8">
          <w:rPr>
            <w:noProof/>
          </w:rPr>
          <w:t>1</w:t>
        </w:r>
        <w:r>
          <w:fldChar w:fldCharType="end"/>
        </w:r>
      </w:p>
    </w:sdtContent>
  </w:sdt>
  <w:p w:rsidR="00D53074" w:rsidRDefault="00D53074">
    <w:pPr>
      <w:pStyle w:val="Fuzeile"/>
      <w:tabs>
        <w:tab w:val="left" w:pos="42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D8" w:rsidRDefault="004A77D8">
      <w:r>
        <w:separator/>
      </w:r>
    </w:p>
  </w:footnote>
  <w:footnote w:type="continuationSeparator" w:id="0">
    <w:p w:rsidR="004A77D8" w:rsidRDefault="004A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74" w:rsidRDefault="00E347B4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4406895</wp:posOffset>
              </wp:positionH>
              <wp:positionV relativeFrom="paragraph">
                <wp:posOffset>-118739</wp:posOffset>
              </wp:positionV>
              <wp:extent cx="1577340" cy="907409"/>
              <wp:effectExtent l="0" t="0" r="3807" b="6984"/>
              <wp:wrapThrough wrapText="bothSides">
                <wp:wrapPolygon edited="1">
                  <wp:start x="0" y="0"/>
                  <wp:lineTo x="0" y="21312"/>
                  <wp:lineTo x="21380" y="21312"/>
                  <wp:lineTo x="21380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digiDEM_Medic_DR_farbig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7340" cy="907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margin;margin-left:347.0pt;mso-position-horizontal:absolute;mso-position-vertical-relative:text;margin-top:-9.3pt;mso-position-vertical:absolute;width:124.2pt;height:71.4pt;" wrapcoords="0 0 0 98667 98981 98667 98981 0 0 0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99D"/>
    <w:multiLevelType w:val="multilevel"/>
    <w:tmpl w:val="D874791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79740CC"/>
    <w:multiLevelType w:val="hybridMultilevel"/>
    <w:tmpl w:val="1FFE9A62"/>
    <w:lvl w:ilvl="0" w:tplc="32263EE4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2A4AE0CC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7DCECF96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4EC4043A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A5D8E612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D6D2BC8C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E31C471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A472525C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FD5A30AE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2" w15:restartNumberingAfterBreak="0">
    <w:nsid w:val="2BCC7B9C"/>
    <w:multiLevelType w:val="hybridMultilevel"/>
    <w:tmpl w:val="E062A870"/>
    <w:lvl w:ilvl="0" w:tplc="7376FBB8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7C32FDD4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7076FD7E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8F4E1826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D624E57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8D9E8C62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195AE76A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6A082126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1C4A89D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3" w15:restartNumberingAfterBreak="0">
    <w:nsid w:val="445E1979"/>
    <w:multiLevelType w:val="hybridMultilevel"/>
    <w:tmpl w:val="B4A49E68"/>
    <w:lvl w:ilvl="0" w:tplc="9460BDB0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C0A06B18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186C2F7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AE16EE50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366C18A4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97B6BD16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A8DC984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219E1C44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ABF206F4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4"/>
    <w:rsid w:val="000007A4"/>
    <w:rsid w:val="00005BC1"/>
    <w:rsid w:val="0001576D"/>
    <w:rsid w:val="0005616D"/>
    <w:rsid w:val="00084AF3"/>
    <w:rsid w:val="000A2AFB"/>
    <w:rsid w:val="000E1852"/>
    <w:rsid w:val="000F34E9"/>
    <w:rsid w:val="001034EC"/>
    <w:rsid w:val="00123B46"/>
    <w:rsid w:val="00133E53"/>
    <w:rsid w:val="00137624"/>
    <w:rsid w:val="00141A3F"/>
    <w:rsid w:val="001651ED"/>
    <w:rsid w:val="0016795E"/>
    <w:rsid w:val="00167F00"/>
    <w:rsid w:val="0019288D"/>
    <w:rsid w:val="001A0FCF"/>
    <w:rsid w:val="001A4885"/>
    <w:rsid w:val="001C13A7"/>
    <w:rsid w:val="001E2C0F"/>
    <w:rsid w:val="001E6D4E"/>
    <w:rsid w:val="00206F26"/>
    <w:rsid w:val="00211781"/>
    <w:rsid w:val="00217373"/>
    <w:rsid w:val="00223E0A"/>
    <w:rsid w:val="002253EB"/>
    <w:rsid w:val="002441AE"/>
    <w:rsid w:val="0024624C"/>
    <w:rsid w:val="00267C80"/>
    <w:rsid w:val="0028163C"/>
    <w:rsid w:val="00285566"/>
    <w:rsid w:val="002A38A1"/>
    <w:rsid w:val="002E4BF3"/>
    <w:rsid w:val="002F7A26"/>
    <w:rsid w:val="003103AB"/>
    <w:rsid w:val="00317566"/>
    <w:rsid w:val="0032177B"/>
    <w:rsid w:val="00322409"/>
    <w:rsid w:val="00332463"/>
    <w:rsid w:val="0033418F"/>
    <w:rsid w:val="003345EA"/>
    <w:rsid w:val="00340830"/>
    <w:rsid w:val="003750FE"/>
    <w:rsid w:val="00395774"/>
    <w:rsid w:val="003A6C5D"/>
    <w:rsid w:val="003B2F6D"/>
    <w:rsid w:val="003C1A79"/>
    <w:rsid w:val="003C2CDA"/>
    <w:rsid w:val="003C4599"/>
    <w:rsid w:val="003E66D0"/>
    <w:rsid w:val="003E7CCB"/>
    <w:rsid w:val="003F29CA"/>
    <w:rsid w:val="003F3EF9"/>
    <w:rsid w:val="003F5B96"/>
    <w:rsid w:val="00423C83"/>
    <w:rsid w:val="00425028"/>
    <w:rsid w:val="00445FF3"/>
    <w:rsid w:val="00446F8B"/>
    <w:rsid w:val="004978ED"/>
    <w:rsid w:val="004A32B8"/>
    <w:rsid w:val="004A7731"/>
    <w:rsid w:val="004A77D8"/>
    <w:rsid w:val="004C1721"/>
    <w:rsid w:val="004C211F"/>
    <w:rsid w:val="004C726A"/>
    <w:rsid w:val="004E7B2F"/>
    <w:rsid w:val="004F5C21"/>
    <w:rsid w:val="00500AED"/>
    <w:rsid w:val="0051728E"/>
    <w:rsid w:val="00546809"/>
    <w:rsid w:val="00547435"/>
    <w:rsid w:val="0057432E"/>
    <w:rsid w:val="005808B5"/>
    <w:rsid w:val="00584B28"/>
    <w:rsid w:val="0059665F"/>
    <w:rsid w:val="005C4D46"/>
    <w:rsid w:val="005D3E1A"/>
    <w:rsid w:val="005F7A2D"/>
    <w:rsid w:val="00605905"/>
    <w:rsid w:val="00610270"/>
    <w:rsid w:val="006179C7"/>
    <w:rsid w:val="00633C70"/>
    <w:rsid w:val="0065452F"/>
    <w:rsid w:val="00655460"/>
    <w:rsid w:val="00657040"/>
    <w:rsid w:val="006615EE"/>
    <w:rsid w:val="00661ECE"/>
    <w:rsid w:val="00662192"/>
    <w:rsid w:val="00665DA5"/>
    <w:rsid w:val="006745BB"/>
    <w:rsid w:val="006C25A5"/>
    <w:rsid w:val="006C754C"/>
    <w:rsid w:val="0070222B"/>
    <w:rsid w:val="0070342F"/>
    <w:rsid w:val="00715749"/>
    <w:rsid w:val="0072160C"/>
    <w:rsid w:val="007311F3"/>
    <w:rsid w:val="00732E92"/>
    <w:rsid w:val="0073422A"/>
    <w:rsid w:val="00757D94"/>
    <w:rsid w:val="00763F7C"/>
    <w:rsid w:val="007723EE"/>
    <w:rsid w:val="00790009"/>
    <w:rsid w:val="007B29DF"/>
    <w:rsid w:val="007B43A7"/>
    <w:rsid w:val="007D6698"/>
    <w:rsid w:val="007F5A24"/>
    <w:rsid w:val="00810FB6"/>
    <w:rsid w:val="008209F6"/>
    <w:rsid w:val="0083075F"/>
    <w:rsid w:val="008314C5"/>
    <w:rsid w:val="00833011"/>
    <w:rsid w:val="00842C48"/>
    <w:rsid w:val="00842C6C"/>
    <w:rsid w:val="00842F16"/>
    <w:rsid w:val="00853396"/>
    <w:rsid w:val="00853CBF"/>
    <w:rsid w:val="00861B09"/>
    <w:rsid w:val="00861EA7"/>
    <w:rsid w:val="00877658"/>
    <w:rsid w:val="008815AE"/>
    <w:rsid w:val="008955A0"/>
    <w:rsid w:val="008A6019"/>
    <w:rsid w:val="008C1CAA"/>
    <w:rsid w:val="008D6EC0"/>
    <w:rsid w:val="008E0B5B"/>
    <w:rsid w:val="008E0B8D"/>
    <w:rsid w:val="00906717"/>
    <w:rsid w:val="0091011C"/>
    <w:rsid w:val="009106AE"/>
    <w:rsid w:val="00923A7F"/>
    <w:rsid w:val="00924AB8"/>
    <w:rsid w:val="009352A2"/>
    <w:rsid w:val="0096252A"/>
    <w:rsid w:val="00973834"/>
    <w:rsid w:val="00980F1F"/>
    <w:rsid w:val="009941A2"/>
    <w:rsid w:val="009A0F07"/>
    <w:rsid w:val="009B67B9"/>
    <w:rsid w:val="009C5270"/>
    <w:rsid w:val="009E6737"/>
    <w:rsid w:val="009E677E"/>
    <w:rsid w:val="009F5EC6"/>
    <w:rsid w:val="00A12F12"/>
    <w:rsid w:val="00A1327C"/>
    <w:rsid w:val="00A371A1"/>
    <w:rsid w:val="00A409DB"/>
    <w:rsid w:val="00A41EE2"/>
    <w:rsid w:val="00A6418C"/>
    <w:rsid w:val="00A80FCC"/>
    <w:rsid w:val="00A964C4"/>
    <w:rsid w:val="00AA44C6"/>
    <w:rsid w:val="00AB3F30"/>
    <w:rsid w:val="00AB73A5"/>
    <w:rsid w:val="00AB7DFB"/>
    <w:rsid w:val="00AC0371"/>
    <w:rsid w:val="00AC7384"/>
    <w:rsid w:val="00AE16A5"/>
    <w:rsid w:val="00AE170E"/>
    <w:rsid w:val="00AE73E1"/>
    <w:rsid w:val="00B17FC1"/>
    <w:rsid w:val="00B24C93"/>
    <w:rsid w:val="00B378EA"/>
    <w:rsid w:val="00B37E08"/>
    <w:rsid w:val="00B53250"/>
    <w:rsid w:val="00B67D17"/>
    <w:rsid w:val="00B728D3"/>
    <w:rsid w:val="00B77C43"/>
    <w:rsid w:val="00B948E8"/>
    <w:rsid w:val="00BB032E"/>
    <w:rsid w:val="00BB3FD5"/>
    <w:rsid w:val="00BB636A"/>
    <w:rsid w:val="00BC78C7"/>
    <w:rsid w:val="00BE09CB"/>
    <w:rsid w:val="00BE2F8A"/>
    <w:rsid w:val="00BE3F79"/>
    <w:rsid w:val="00C03AC3"/>
    <w:rsid w:val="00C1085C"/>
    <w:rsid w:val="00C308AA"/>
    <w:rsid w:val="00C44DC7"/>
    <w:rsid w:val="00C52C63"/>
    <w:rsid w:val="00C67A1E"/>
    <w:rsid w:val="00C94E0F"/>
    <w:rsid w:val="00C97113"/>
    <w:rsid w:val="00CA7503"/>
    <w:rsid w:val="00CC1F5B"/>
    <w:rsid w:val="00CD3508"/>
    <w:rsid w:val="00CE4BD3"/>
    <w:rsid w:val="00D04DDB"/>
    <w:rsid w:val="00D33632"/>
    <w:rsid w:val="00D37FBA"/>
    <w:rsid w:val="00D44FE5"/>
    <w:rsid w:val="00D454CE"/>
    <w:rsid w:val="00D46FC3"/>
    <w:rsid w:val="00D53074"/>
    <w:rsid w:val="00D61CDE"/>
    <w:rsid w:val="00D63FBF"/>
    <w:rsid w:val="00DA25EE"/>
    <w:rsid w:val="00DB2877"/>
    <w:rsid w:val="00DB554B"/>
    <w:rsid w:val="00DB56DF"/>
    <w:rsid w:val="00DB667A"/>
    <w:rsid w:val="00DC1670"/>
    <w:rsid w:val="00DD53F1"/>
    <w:rsid w:val="00DE70D6"/>
    <w:rsid w:val="00E05403"/>
    <w:rsid w:val="00E255D5"/>
    <w:rsid w:val="00E30B86"/>
    <w:rsid w:val="00E347B4"/>
    <w:rsid w:val="00E358C2"/>
    <w:rsid w:val="00E37CFB"/>
    <w:rsid w:val="00E426CB"/>
    <w:rsid w:val="00E44ABC"/>
    <w:rsid w:val="00E57CBA"/>
    <w:rsid w:val="00E6008A"/>
    <w:rsid w:val="00E6761D"/>
    <w:rsid w:val="00E81DE9"/>
    <w:rsid w:val="00E9269D"/>
    <w:rsid w:val="00E92CAC"/>
    <w:rsid w:val="00EA3011"/>
    <w:rsid w:val="00EC462A"/>
    <w:rsid w:val="00EE4768"/>
    <w:rsid w:val="00EE6C4B"/>
    <w:rsid w:val="00EF4507"/>
    <w:rsid w:val="00EF720D"/>
    <w:rsid w:val="00F068D9"/>
    <w:rsid w:val="00F07419"/>
    <w:rsid w:val="00F3507F"/>
    <w:rsid w:val="00F361C0"/>
    <w:rsid w:val="00F91738"/>
    <w:rsid w:val="00FB0F6A"/>
    <w:rsid w:val="00FC416C"/>
    <w:rsid w:val="00FC4268"/>
    <w:rsid w:val="00FD615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070EB6"/>
  <w15:docId w15:val="{C7629EE2-71B9-4208-87FB-51C4B19C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 w:line="280" w:lineRule="exact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 w:line="280" w:lineRule="exact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 w:line="28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 w:line="280" w:lineRule="exac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 w:line="280" w:lineRule="exact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 w:line="280" w:lineRule="exact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 w:line="280" w:lineRule="exac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line="280" w:lineRule="exact"/>
    </w:pPr>
    <w:rPr>
      <w:rFonts w:ascii="metaot-norm" w:hAnsi="metaot-norm"/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 w:line="280" w:lineRule="exact"/>
      <w:contextualSpacing/>
    </w:pPr>
    <w:rPr>
      <w:rFonts w:ascii="metaot-norm" w:hAnsi="metaot-norm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 w:line="280" w:lineRule="exact"/>
    </w:pPr>
    <w:rPr>
      <w:rFonts w:ascii="metaot-norm" w:hAnsi="metaot-norm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line="280" w:lineRule="exact"/>
      <w:ind w:left="720" w:right="720"/>
    </w:pPr>
    <w:rPr>
      <w:rFonts w:ascii="metaot-norm" w:hAnsi="metaot-norm"/>
      <w:i/>
      <w:sz w:val="20"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80" w:lineRule="exact"/>
      <w:ind w:left="720" w:right="720"/>
    </w:pPr>
    <w:rPr>
      <w:rFonts w:ascii="metaot-norm" w:hAnsi="metaot-norm"/>
      <w:i/>
      <w:sz w:val="20"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rFonts w:ascii="metaot-norm" w:hAnsi="metaot-norm"/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 w:line="280" w:lineRule="exact"/>
    </w:pPr>
    <w:rPr>
      <w:rFonts w:ascii="metaot-norm" w:hAnsi="metaot-norm"/>
      <w:sz w:val="20"/>
    </w:rPr>
  </w:style>
  <w:style w:type="paragraph" w:styleId="Verzeichnis2">
    <w:name w:val="toc 2"/>
    <w:basedOn w:val="Standard"/>
    <w:next w:val="Standard"/>
    <w:uiPriority w:val="39"/>
    <w:unhideWhenUsed/>
    <w:pPr>
      <w:spacing w:after="57" w:line="280" w:lineRule="exact"/>
      <w:ind w:left="283"/>
    </w:pPr>
    <w:rPr>
      <w:rFonts w:ascii="metaot-norm" w:hAnsi="metaot-norm"/>
      <w:sz w:val="20"/>
    </w:rPr>
  </w:style>
  <w:style w:type="paragraph" w:styleId="Verzeichnis3">
    <w:name w:val="toc 3"/>
    <w:basedOn w:val="Standard"/>
    <w:next w:val="Standard"/>
    <w:uiPriority w:val="39"/>
    <w:unhideWhenUsed/>
    <w:pPr>
      <w:spacing w:after="57" w:line="280" w:lineRule="exact"/>
      <w:ind w:left="567"/>
    </w:pPr>
    <w:rPr>
      <w:rFonts w:ascii="metaot-norm" w:hAnsi="metaot-norm"/>
      <w:sz w:val="20"/>
    </w:rPr>
  </w:style>
  <w:style w:type="paragraph" w:styleId="Verzeichnis4">
    <w:name w:val="toc 4"/>
    <w:basedOn w:val="Standard"/>
    <w:next w:val="Standard"/>
    <w:uiPriority w:val="39"/>
    <w:unhideWhenUsed/>
    <w:pPr>
      <w:spacing w:after="57" w:line="280" w:lineRule="exact"/>
      <w:ind w:left="850"/>
    </w:pPr>
    <w:rPr>
      <w:rFonts w:ascii="metaot-norm" w:hAnsi="metaot-norm"/>
      <w:sz w:val="20"/>
    </w:rPr>
  </w:style>
  <w:style w:type="paragraph" w:styleId="Verzeichnis5">
    <w:name w:val="toc 5"/>
    <w:basedOn w:val="Standard"/>
    <w:next w:val="Standard"/>
    <w:uiPriority w:val="39"/>
    <w:unhideWhenUsed/>
    <w:pPr>
      <w:spacing w:after="57" w:line="280" w:lineRule="exact"/>
      <w:ind w:left="1134"/>
    </w:pPr>
    <w:rPr>
      <w:rFonts w:ascii="metaot-norm" w:hAnsi="metaot-norm"/>
      <w:sz w:val="20"/>
    </w:rPr>
  </w:style>
  <w:style w:type="paragraph" w:styleId="Verzeichnis6">
    <w:name w:val="toc 6"/>
    <w:basedOn w:val="Standard"/>
    <w:next w:val="Standard"/>
    <w:uiPriority w:val="39"/>
    <w:unhideWhenUsed/>
    <w:pPr>
      <w:spacing w:after="57" w:line="280" w:lineRule="exact"/>
      <w:ind w:left="1417"/>
    </w:pPr>
    <w:rPr>
      <w:rFonts w:ascii="metaot-norm" w:hAnsi="metaot-norm"/>
      <w:sz w:val="20"/>
    </w:rPr>
  </w:style>
  <w:style w:type="paragraph" w:styleId="Verzeichnis7">
    <w:name w:val="toc 7"/>
    <w:basedOn w:val="Standard"/>
    <w:next w:val="Standard"/>
    <w:uiPriority w:val="39"/>
    <w:unhideWhenUsed/>
    <w:pPr>
      <w:spacing w:after="57" w:line="280" w:lineRule="exact"/>
      <w:ind w:left="1701"/>
    </w:pPr>
    <w:rPr>
      <w:rFonts w:ascii="metaot-norm" w:hAnsi="metaot-norm"/>
      <w:sz w:val="20"/>
    </w:rPr>
  </w:style>
  <w:style w:type="paragraph" w:styleId="Verzeichnis8">
    <w:name w:val="toc 8"/>
    <w:basedOn w:val="Standard"/>
    <w:next w:val="Standard"/>
    <w:uiPriority w:val="39"/>
    <w:unhideWhenUsed/>
    <w:pPr>
      <w:spacing w:after="57" w:line="280" w:lineRule="exact"/>
      <w:ind w:left="1984"/>
    </w:pPr>
    <w:rPr>
      <w:rFonts w:ascii="metaot-norm" w:hAnsi="metaot-norm"/>
      <w:sz w:val="20"/>
    </w:rPr>
  </w:style>
  <w:style w:type="paragraph" w:styleId="Verzeichnis9">
    <w:name w:val="toc 9"/>
    <w:basedOn w:val="Standard"/>
    <w:next w:val="Standard"/>
    <w:uiPriority w:val="39"/>
    <w:unhideWhenUsed/>
    <w:pPr>
      <w:spacing w:after="57" w:line="280" w:lineRule="exact"/>
      <w:ind w:left="2268"/>
    </w:pPr>
    <w:rPr>
      <w:rFonts w:ascii="metaot-norm" w:hAnsi="metaot-norm"/>
      <w:sz w:val="20"/>
    </w:rPr>
  </w:style>
  <w:style w:type="paragraph" w:styleId="Inhaltsverzeichnisberschrift">
    <w:name w:val="TOC Heading"/>
    <w:uiPriority w:val="39"/>
    <w:unhideWhenUsed/>
  </w:style>
  <w:style w:type="character" w:customStyle="1" w:styleId="Italic">
    <w:name w:val="_Italic"/>
    <w:basedOn w:val="Absatz-Standardschriftart"/>
    <w:uiPriority w:val="1"/>
    <w:qFormat/>
    <w:rPr>
      <w:rFonts w:ascii="metaot-normita" w:hAnsi="metaot-normita"/>
    </w:rPr>
  </w:style>
  <w:style w:type="paragraph" w:customStyle="1" w:styleId="Headline">
    <w:name w:val="_Headline"/>
    <w:basedOn w:val="Standard"/>
    <w:qFormat/>
    <w:pPr>
      <w:spacing w:line="340" w:lineRule="exact"/>
    </w:pPr>
    <w:rPr>
      <w:rFonts w:ascii="metaot-normita" w:hAnsi="metaot-normita"/>
      <w:sz w:val="26"/>
      <w:szCs w:val="26"/>
    </w:rPr>
  </w:style>
  <w:style w:type="character" w:styleId="Hyperlink">
    <w:name w:val="Hyperlink"/>
    <w:basedOn w:val="Absatz-Standardschriftart"/>
    <w:uiPriority w:val="99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pPr>
      <w:spacing w:line="280" w:lineRule="exact"/>
      <w:ind w:left="720"/>
      <w:contextualSpacing/>
    </w:pPr>
    <w:rPr>
      <w:rFonts w:ascii="metaot-norm" w:hAnsi="metaot-norm"/>
      <w:sz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metaot-norm" w:hAnsi="metaot-norm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metaot-norm" w:hAnsi="metaot-norm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metaot-norm" w:eastAsia="Times New Roman" w:hAnsi="metaot-norm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etaot-norm" w:eastAsia="Times New Roman" w:hAnsi="metaot-norm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docdata">
    <w:name w:val="docdata"/>
    <w:aliases w:val="v5,1301,bqiaagaaeyqcaaagiaiaaam4baaabuyeaaaaaaaaaaaaaaaaaaaaaaaaaaaaaaaaaaaaaaaaaaaaaaaaaaaaaaaaaaaaaaaaaaaaaaaaaaaaaaaaaaaaaaaaaaaaaaaaaaaaaaaaaaaaaaaaaaaaaaaaaaaaaaaaaaaaaaaaaaaaaaaaaaaaaaaaaaaaaaaaaaaaaaaaaaaaaaaaaaaaaaaaaaaaaaaaaaaaaaaa,1549"/>
    <w:basedOn w:val="Absatz-Standardschriftart"/>
  </w:style>
  <w:style w:type="paragraph" w:customStyle="1" w:styleId="2588">
    <w:name w:val="2588"/>
    <w:basedOn w:val="Standard"/>
    <w:pPr>
      <w:spacing w:before="100" w:beforeAutospacing="1" w:after="100" w:afterAutospacing="1"/>
    </w:pPr>
  </w:style>
  <w:style w:type="paragraph" w:customStyle="1" w:styleId="22702">
    <w:name w:val="22702"/>
    <w:basedOn w:val="Standar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</w:style>
  <w:style w:type="paragraph" w:customStyle="1" w:styleId="docy">
    <w:name w:val="docy"/>
    <w:aliases w:val="8571,bqiaagaaeyqcaaagiaiaaaoeiaaabawgaaaaaaaaaaaaaaaaaaaaaaaaaaaaaaaaaaaaaaaaaaaaaaaaaaaaaaaaaaaaaaaaaaaaaaaaaaaaaaaaaaaaaaaaaaaaaaaaaaaaaaaaaaaaaaaaaaaaaaaaaaaaaaaaaaaaaaaaaaaaaaaaaaaaaaaaaaaaaaaaaaaaaaaaaaaaaaaaaaaaaaaaaaaaaaaaaaaaaaaa,5381,19633"/>
    <w:basedOn w:val="Standard"/>
    <w:pPr>
      <w:spacing w:before="100" w:beforeAutospacing="1" w:after="100" w:afterAutospacing="1"/>
    </w:pPr>
  </w:style>
  <w:style w:type="character" w:customStyle="1" w:styleId="stk-highlight">
    <w:name w:val="stk-highlight"/>
    <w:basedOn w:val="Absatz-Standardschriftart"/>
    <w:rsid w:val="00E81DE9"/>
  </w:style>
  <w:style w:type="character" w:customStyle="1" w:styleId="id-label">
    <w:name w:val="id-label"/>
    <w:rsid w:val="000E1852"/>
  </w:style>
  <w:style w:type="character" w:customStyle="1" w:styleId="identifier">
    <w:name w:val="identifier"/>
    <w:rsid w:val="00E9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dem-bayern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lona.hoerath@fau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Hörath, Ilona (extern)</dc:creator>
  <cp:lastModifiedBy>Hörath, Ilona (extern)</cp:lastModifiedBy>
  <cp:revision>5</cp:revision>
  <dcterms:created xsi:type="dcterms:W3CDTF">2022-11-22T09:16:00Z</dcterms:created>
  <dcterms:modified xsi:type="dcterms:W3CDTF">2022-11-22T09:18:00Z</dcterms:modified>
</cp:coreProperties>
</file>