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670" w:rsidRDefault="00DF5670">
      <w:pPr>
        <w:spacing w:line="440" w:lineRule="atLeast"/>
        <w:jc w:val="both"/>
        <w:rPr>
          <w:rFonts w:ascii="Calibri Light" w:hAnsi="Calibri Light" w:cs="Calibri Light"/>
          <w:b/>
          <w:sz w:val="40"/>
          <w:szCs w:val="40"/>
        </w:rPr>
      </w:pPr>
    </w:p>
    <w:p w:rsidR="00DF5670" w:rsidRDefault="00DF5670">
      <w:pPr>
        <w:spacing w:line="240" w:lineRule="auto"/>
        <w:jc w:val="both"/>
        <w:rPr>
          <w:rFonts w:ascii="Calibri" w:hAnsi="Calibri" w:cs="Calibri"/>
          <w:b/>
          <w:sz w:val="40"/>
          <w:szCs w:val="40"/>
        </w:rPr>
      </w:pPr>
    </w:p>
    <w:p w:rsidR="00DF5670" w:rsidRDefault="005715B8">
      <w:pPr>
        <w:spacing w:line="240" w:lineRule="auto"/>
        <w:jc w:val="both"/>
        <w:rPr>
          <w:rFonts w:ascii="Calibri" w:hAnsi="Calibri" w:cs="Calibri"/>
        </w:rPr>
      </w:pPr>
      <w:r>
        <w:rPr>
          <w:rFonts w:ascii="Calibri" w:hAnsi="Calibri" w:cs="Calibri"/>
          <w:b/>
          <w:sz w:val="40"/>
          <w:szCs w:val="40"/>
        </w:rPr>
        <w:t>PRESSEMITTEILUNG</w:t>
      </w:r>
    </w:p>
    <w:p w:rsidR="00DF5670" w:rsidRDefault="00DF5670">
      <w:pPr>
        <w:spacing w:line="240" w:lineRule="auto"/>
        <w:jc w:val="both"/>
        <w:rPr>
          <w:rFonts w:ascii="Calibri" w:hAnsi="Calibri" w:cs="Calibri"/>
        </w:rPr>
      </w:pPr>
    </w:p>
    <w:p w:rsidR="00DF5670" w:rsidRDefault="00DF5670">
      <w:pPr>
        <w:spacing w:line="240" w:lineRule="auto"/>
        <w:jc w:val="both"/>
        <w:rPr>
          <w:rFonts w:ascii="Calibri" w:hAnsi="Calibri" w:cs="Calibri"/>
        </w:rPr>
      </w:pPr>
    </w:p>
    <w:p w:rsidR="00DF5670" w:rsidRPr="00ED19B4" w:rsidRDefault="005715B8">
      <w:pPr>
        <w:spacing w:line="240" w:lineRule="auto"/>
        <w:jc w:val="both"/>
        <w:rPr>
          <w:rFonts w:ascii="Calibri" w:hAnsi="Calibri" w:cs="Calibri"/>
          <w:sz w:val="24"/>
        </w:rPr>
      </w:pPr>
      <w:r w:rsidRPr="00ED19B4">
        <w:rPr>
          <w:rFonts w:ascii="Calibri" w:hAnsi="Calibri" w:cs="Calibri"/>
          <w:sz w:val="24"/>
        </w:rPr>
        <w:t>Erlangen, 31.03.2022</w:t>
      </w:r>
    </w:p>
    <w:p w:rsidR="00DF5670" w:rsidRDefault="00DF5670">
      <w:pPr>
        <w:spacing w:line="240" w:lineRule="auto"/>
        <w:jc w:val="both"/>
        <w:rPr>
          <w:rFonts w:ascii="Calibri" w:hAnsi="Calibri" w:cs="Calibri"/>
        </w:rPr>
      </w:pPr>
    </w:p>
    <w:p w:rsidR="00DF5670" w:rsidRDefault="00DF5670">
      <w:pPr>
        <w:spacing w:line="240" w:lineRule="auto"/>
        <w:jc w:val="both"/>
        <w:rPr>
          <w:rFonts w:ascii="Calibri" w:hAnsi="Calibri" w:cs="Calibri"/>
        </w:rPr>
      </w:pPr>
    </w:p>
    <w:p w:rsidR="00DF5670" w:rsidRDefault="005715B8">
      <w:pPr>
        <w:spacing w:line="240" w:lineRule="auto"/>
        <w:jc w:val="both"/>
        <w:rPr>
          <w:rFonts w:ascii="Calibri" w:hAnsi="Calibri" w:cs="Calibri"/>
          <w:sz w:val="24"/>
        </w:rPr>
      </w:pPr>
      <w:r>
        <w:rPr>
          <w:rFonts w:ascii="Calibri" w:hAnsi="Calibri" w:cs="Calibri"/>
          <w:sz w:val="24"/>
        </w:rPr>
        <w:t>W</w:t>
      </w:r>
      <w:r>
        <w:rPr>
          <w:rFonts w:ascii="Calibri" w:hAnsi="Calibri" w:cs="Calibri"/>
          <w:color w:val="000000" w:themeColor="text1"/>
          <w:sz w:val="24"/>
        </w:rPr>
        <w:t xml:space="preserve">eiteres digitales </w:t>
      </w:r>
      <w:r w:rsidR="00EE7966">
        <w:rPr>
          <w:rFonts w:ascii="Calibri" w:hAnsi="Calibri" w:cs="Calibri"/>
          <w:sz w:val="24"/>
        </w:rPr>
        <w:t>Angebot von digiDEM Bayern</w:t>
      </w:r>
    </w:p>
    <w:p w:rsidR="00DF5670" w:rsidRDefault="00DF5670">
      <w:pPr>
        <w:rPr>
          <w:rFonts w:ascii="Calibri" w:hAnsi="Calibri" w:cs="Calibri"/>
          <w:b/>
          <w:color w:val="000000"/>
          <w:sz w:val="24"/>
        </w:rPr>
      </w:pPr>
    </w:p>
    <w:p w:rsidR="00DF5670" w:rsidRDefault="005715B8">
      <w:pPr>
        <w:rPr>
          <w:rFonts w:ascii="Calibri" w:hAnsi="Calibri" w:cs="Calibri"/>
          <w:b/>
          <w:color w:val="000000"/>
          <w:sz w:val="28"/>
          <w:szCs w:val="28"/>
        </w:rPr>
      </w:pPr>
      <w:r>
        <w:rPr>
          <w:rFonts w:ascii="Calibri" w:hAnsi="Calibri" w:cs="Calibri"/>
          <w:b/>
          <w:color w:val="000000" w:themeColor="text1"/>
          <w:sz w:val="28"/>
          <w:szCs w:val="28"/>
        </w:rPr>
        <w:t xml:space="preserve">Schneller zur Demenzdiagnose mit einem Früherkennungsinstrument </w:t>
      </w:r>
    </w:p>
    <w:p w:rsidR="00DF5670" w:rsidRDefault="00DF5670">
      <w:pPr>
        <w:spacing w:line="240" w:lineRule="auto"/>
        <w:jc w:val="both"/>
        <w:rPr>
          <w:rFonts w:ascii="Calibri" w:eastAsia="Arial" w:hAnsi="Calibri" w:cs="Calibri"/>
          <w:b/>
          <w:sz w:val="24"/>
        </w:rPr>
      </w:pPr>
    </w:p>
    <w:p w:rsidR="00DF5670" w:rsidRDefault="00DF5670">
      <w:pPr>
        <w:spacing w:line="240" w:lineRule="auto"/>
        <w:jc w:val="both"/>
        <w:rPr>
          <w:rFonts w:asciiTheme="minorHAnsi" w:eastAsia="Arial" w:hAnsiTheme="minorHAnsi" w:cstheme="minorHAnsi"/>
          <w:b/>
          <w:sz w:val="24"/>
        </w:rPr>
      </w:pPr>
    </w:p>
    <w:p w:rsidR="00DF5670" w:rsidRDefault="005715B8">
      <w:pPr>
        <w:spacing w:line="276" w:lineRule="auto"/>
        <w:jc w:val="both"/>
        <w:rPr>
          <w:rFonts w:asciiTheme="minorHAnsi" w:hAnsiTheme="minorHAnsi" w:cstheme="minorHAnsi"/>
          <w:b/>
          <w:color w:val="000000"/>
          <w:sz w:val="24"/>
        </w:rPr>
      </w:pPr>
      <w:r>
        <w:rPr>
          <w:rFonts w:asciiTheme="minorHAnsi" w:hAnsiTheme="minorHAnsi" w:cstheme="minorHAnsi"/>
          <w:b/>
          <w:color w:val="000000" w:themeColor="text1"/>
          <w:sz w:val="24"/>
        </w:rPr>
        <w:t xml:space="preserve">Mit einem weiteren digitalen Angebot unternimmt digiDEM Bayern, das Digitale Demenzregister Bayern, den nächsten Schritt, um die Lebensbedingungen von Menschen mit Demenz </w:t>
      </w:r>
      <w:r>
        <w:rPr>
          <w:rFonts w:asciiTheme="minorHAnsi" w:hAnsiTheme="minorHAnsi" w:cstheme="minorHAnsi"/>
          <w:b/>
          <w:color w:val="000000" w:themeColor="text1"/>
          <w:sz w:val="24"/>
          <w:shd w:val="clear" w:color="auto" w:fill="FFFFFF"/>
        </w:rPr>
        <w:t xml:space="preserve">und ihren pflegenden Angehörigen in Bayern zu verbessern. Die </w:t>
      </w:r>
      <w:r>
        <w:rPr>
          <w:rFonts w:asciiTheme="minorHAnsi" w:hAnsiTheme="minorHAnsi" w:cstheme="minorHAnsi"/>
          <w:b/>
          <w:color w:val="222222"/>
          <w:sz w:val="24"/>
          <w:shd w:val="clear" w:color="auto" w:fill="FFFFFF"/>
        </w:rPr>
        <w:t xml:space="preserve">Forscher*innen am Interdisziplinären Zentrum für Health Technology Assessment (HTA) und Public Health </w:t>
      </w:r>
      <w:r>
        <w:rPr>
          <w:rFonts w:asciiTheme="minorHAnsi" w:hAnsiTheme="minorHAnsi" w:cstheme="minorHAnsi"/>
          <w:b/>
          <w:color w:val="000000"/>
          <w:sz w:val="24"/>
        </w:rPr>
        <w:t>der Friedrich-Alexander-Universität Erlangen-Nürnberg</w:t>
      </w:r>
      <w:r>
        <w:rPr>
          <w:rFonts w:asciiTheme="minorHAnsi" w:hAnsiTheme="minorHAnsi" w:cstheme="minorHAnsi"/>
          <w:b/>
          <w:color w:val="222222"/>
          <w:sz w:val="24"/>
          <w:shd w:val="clear" w:color="auto" w:fill="FFFFFF"/>
        </w:rPr>
        <w:t xml:space="preserve"> (FAU) haben </w:t>
      </w:r>
      <w:r>
        <w:rPr>
          <w:rFonts w:asciiTheme="minorHAnsi" w:hAnsiTheme="minorHAnsi" w:cstheme="minorHAnsi"/>
          <w:b/>
          <w:sz w:val="24"/>
        </w:rPr>
        <w:t xml:space="preserve">einen wissenschaftlich abgesicherten Online-Fragebogen entwickelt. Er ermöglicht es </w:t>
      </w:r>
      <w:r>
        <w:rPr>
          <w:rFonts w:asciiTheme="minorHAnsi" w:hAnsiTheme="minorHAnsi" w:cstheme="minorHAnsi"/>
          <w:b/>
          <w:color w:val="000000"/>
          <w:sz w:val="24"/>
        </w:rPr>
        <w:t xml:space="preserve">nahestehenden Personen von </w:t>
      </w:r>
      <w:r w:rsidR="002C1ECE">
        <w:rPr>
          <w:rFonts w:asciiTheme="minorHAnsi" w:hAnsiTheme="minorHAnsi" w:cstheme="minorHAnsi"/>
          <w:b/>
          <w:color w:val="000000"/>
          <w:sz w:val="24"/>
        </w:rPr>
        <w:t>Betroffenen</w:t>
      </w:r>
      <w:r>
        <w:rPr>
          <w:rFonts w:asciiTheme="minorHAnsi" w:hAnsiTheme="minorHAnsi" w:cstheme="minorHAnsi"/>
          <w:b/>
          <w:color w:val="000000"/>
          <w:sz w:val="24"/>
        </w:rPr>
        <w:t>, deren kognitiven Abbau einschätzen zu können. Der Fragebogen ist kostenfrei nutzbar und bietet einen sehr guten Einstieg hin zu einer umfassenden ärztlichen Diagnostik.</w:t>
      </w:r>
    </w:p>
    <w:p w:rsidR="00DF5670" w:rsidRDefault="00DF5670">
      <w:pPr>
        <w:spacing w:line="240" w:lineRule="auto"/>
        <w:jc w:val="both"/>
        <w:rPr>
          <w:rFonts w:asciiTheme="minorHAnsi" w:eastAsia="Arial" w:hAnsiTheme="minorHAnsi" w:cstheme="minorHAnsi"/>
          <w:b/>
          <w:color w:val="00B0F0"/>
          <w:sz w:val="24"/>
        </w:rPr>
      </w:pPr>
    </w:p>
    <w:p w:rsidR="00DF5670" w:rsidRDefault="005715B8">
      <w:pPr>
        <w:spacing w:line="276" w:lineRule="auto"/>
        <w:rPr>
          <w:rFonts w:asciiTheme="minorHAnsi" w:hAnsiTheme="minorHAnsi" w:cstheme="minorHAnsi"/>
          <w:color w:val="000000"/>
          <w:sz w:val="24"/>
        </w:rPr>
      </w:pPr>
      <w:r>
        <w:rPr>
          <w:rFonts w:asciiTheme="minorHAnsi" w:hAnsiTheme="minorHAnsi" w:cstheme="minorHAnsi"/>
          <w:color w:val="000000" w:themeColor="text1"/>
          <w:sz w:val="24"/>
        </w:rPr>
        <w:t>75% der Menschen mit Demenz weltweit leben ohne eine gesicherte Diagnose, so der jüngste Welt-Alzheimer-Report 2021. Eine deutsche Studie berichtet einen ähnlichen Anteil. Demzufolge wissen 60% nicht, dass sie an Demenz erkrankt sind. Oft wird die Diagnose erst sehr spät gestellt. Dabei ist es für Menschen mit kognitiven Einschränkungen und ihre Angehörigen von großer Bedeutung, frühzeitig Gewissheit zu haben: "Eine zeitgerechte Diagnose verbessert die Lebensbed</w:t>
      </w:r>
      <w:r w:rsidR="00917308">
        <w:rPr>
          <w:rFonts w:asciiTheme="minorHAnsi" w:hAnsiTheme="minorHAnsi" w:cstheme="minorHAnsi"/>
          <w:color w:val="000000" w:themeColor="text1"/>
          <w:sz w:val="24"/>
        </w:rPr>
        <w:t xml:space="preserve">ingungen im Rahmen der späteren </w:t>
      </w:r>
      <w:r w:rsidR="00DC302F">
        <w:rPr>
          <w:rFonts w:asciiTheme="minorHAnsi" w:hAnsiTheme="minorHAnsi" w:cstheme="minorHAnsi"/>
          <w:color w:val="000000" w:themeColor="text1"/>
          <w:sz w:val="24"/>
        </w:rPr>
        <w:t>Gesundheitsversorgung</w:t>
      </w:r>
      <w:r>
        <w:rPr>
          <w:rFonts w:asciiTheme="minorHAnsi" w:hAnsiTheme="minorHAnsi" w:cstheme="minorHAnsi"/>
          <w:color w:val="000000" w:themeColor="text1"/>
          <w:sz w:val="24"/>
        </w:rPr>
        <w:t xml:space="preserve">", </w:t>
      </w:r>
      <w:r>
        <w:rPr>
          <w:rFonts w:asciiTheme="minorHAnsi" w:hAnsiTheme="minorHAnsi" w:cstheme="minorHAnsi"/>
          <w:color w:val="000000"/>
          <w:sz w:val="24"/>
        </w:rPr>
        <w:t xml:space="preserve">erklärt der Neurologe </w:t>
      </w:r>
      <w:r>
        <w:rPr>
          <w:rFonts w:asciiTheme="minorHAnsi" w:hAnsiTheme="minorHAnsi" w:cstheme="minorHAnsi"/>
          <w:sz w:val="24"/>
        </w:rPr>
        <w:t xml:space="preserve">Prof. Dr. med. Peter Kolominsky-Rabas, </w:t>
      </w:r>
      <w:r>
        <w:rPr>
          <w:rFonts w:asciiTheme="minorHAnsi" w:hAnsiTheme="minorHAnsi" w:cstheme="minorHAnsi"/>
          <w:color w:val="000000"/>
          <w:sz w:val="24"/>
        </w:rPr>
        <w:t>Leiter des Interdisziplinären Zentrums für Health Technology Assessment (HTA) und Public Health der Friedrich-Alexander-Universität Erlangen-Nürnberg (FAU) und einer der Projektleiter von digiDEM Bayern. Gefördert wird digiDEM Bayern vom Bayerischen Staatsministerium für Gesundheit und Pflege</w:t>
      </w:r>
      <w:r w:rsidR="00DC302F">
        <w:rPr>
          <w:rFonts w:asciiTheme="minorHAnsi" w:hAnsiTheme="minorHAnsi" w:cstheme="minorHAnsi"/>
          <w:color w:val="000000"/>
          <w:sz w:val="24"/>
        </w:rPr>
        <w:t xml:space="preserve"> (StMGP)</w:t>
      </w:r>
      <w:r>
        <w:rPr>
          <w:rFonts w:asciiTheme="minorHAnsi" w:hAnsiTheme="minorHAnsi" w:cstheme="minorHAnsi"/>
          <w:color w:val="000000"/>
          <w:sz w:val="24"/>
        </w:rPr>
        <w:t>.</w:t>
      </w:r>
    </w:p>
    <w:p w:rsidR="00DF5670" w:rsidRDefault="00DF5670">
      <w:pPr>
        <w:spacing w:line="276" w:lineRule="auto"/>
        <w:rPr>
          <w:rFonts w:asciiTheme="minorHAnsi" w:hAnsiTheme="minorHAnsi" w:cstheme="minorHAnsi"/>
          <w:sz w:val="24"/>
        </w:rPr>
      </w:pPr>
    </w:p>
    <w:p w:rsidR="00DF5670" w:rsidRDefault="005715B8">
      <w:pPr>
        <w:pStyle w:val="22702"/>
        <w:widowControl w:val="0"/>
        <w:spacing w:before="0" w:beforeAutospacing="0" w:after="0" w:afterAutospacing="0" w:line="276" w:lineRule="auto"/>
        <w:rPr>
          <w:rFonts w:asciiTheme="minorHAnsi" w:hAnsiTheme="minorHAnsi" w:cstheme="minorHAnsi"/>
        </w:rPr>
      </w:pPr>
      <w:r>
        <w:rPr>
          <w:rFonts w:asciiTheme="minorHAnsi" w:hAnsiTheme="minorHAnsi" w:cstheme="minorHAnsi"/>
          <w:color w:val="000000" w:themeColor="text1"/>
        </w:rPr>
        <w:t>Je früher eine Alzheimer-Demenz oder eine andere Form von Demenz erkannt wird, desto früher lernen Menschen mit Demenz und ihre Angehörigen mit den Krankheitssymptomen umzugehen - und desto früher können Behandlungs- und Unterstützungsmöglichkeiten in die Wege geleitet werden</w:t>
      </w:r>
      <w:r w:rsidR="00DC1976">
        <w:rPr>
          <w:rFonts w:asciiTheme="minorHAnsi" w:hAnsiTheme="minorHAnsi" w:cstheme="minorHAnsi"/>
          <w:color w:val="000000" w:themeColor="text1"/>
        </w:rPr>
        <w:t>.</w:t>
      </w:r>
    </w:p>
    <w:p w:rsidR="00DF5670" w:rsidRDefault="005715B8">
      <w:pPr>
        <w:pStyle w:val="StandardWeb"/>
        <w:widowControl w:val="0"/>
        <w:spacing w:before="0" w:beforeAutospacing="0" w:after="0" w:afterAutospacing="0"/>
        <w:rPr>
          <w:rFonts w:asciiTheme="minorHAnsi" w:hAnsiTheme="minorHAnsi" w:cstheme="minorHAnsi"/>
        </w:rPr>
      </w:pPr>
      <w:r>
        <w:rPr>
          <w:rFonts w:asciiTheme="minorHAnsi" w:hAnsiTheme="minorHAnsi" w:cstheme="minorHAnsi"/>
        </w:rPr>
        <w:t> </w:t>
      </w:r>
    </w:p>
    <w:p w:rsidR="00DC1976" w:rsidRDefault="00DC1976">
      <w:pPr>
        <w:pStyle w:val="StandardWeb"/>
        <w:widowControl w:val="0"/>
        <w:spacing w:before="0" w:beforeAutospacing="0" w:after="0" w:afterAutospacing="0"/>
        <w:rPr>
          <w:rFonts w:asciiTheme="minorHAnsi" w:hAnsiTheme="minorHAnsi" w:cstheme="minorHAnsi"/>
        </w:rPr>
      </w:pPr>
    </w:p>
    <w:p w:rsidR="00DC1976" w:rsidRDefault="00DC1976">
      <w:pPr>
        <w:pStyle w:val="StandardWeb"/>
        <w:widowControl w:val="0"/>
        <w:spacing w:before="0" w:beforeAutospacing="0" w:after="0" w:afterAutospacing="0"/>
        <w:rPr>
          <w:rFonts w:asciiTheme="minorHAnsi" w:hAnsiTheme="minorHAnsi" w:cstheme="minorHAnsi"/>
        </w:rPr>
      </w:pPr>
    </w:p>
    <w:p w:rsidR="00DC1976" w:rsidRDefault="00DC1976">
      <w:pPr>
        <w:pStyle w:val="StandardWeb"/>
        <w:widowControl w:val="0"/>
        <w:spacing w:before="0" w:beforeAutospacing="0" w:after="0" w:afterAutospacing="0"/>
        <w:rPr>
          <w:rFonts w:asciiTheme="minorHAnsi" w:hAnsiTheme="minorHAnsi" w:cstheme="minorHAnsi"/>
        </w:rPr>
      </w:pPr>
    </w:p>
    <w:p w:rsidR="00DF5670" w:rsidRDefault="005715B8">
      <w:pPr>
        <w:pStyle w:val="StandardWeb"/>
        <w:widowControl w:val="0"/>
        <w:spacing w:before="0" w:beforeAutospacing="0" w:after="0" w:afterAutospacing="0"/>
        <w:rPr>
          <w:rFonts w:asciiTheme="minorHAnsi" w:hAnsiTheme="minorHAnsi" w:cstheme="minorHAnsi"/>
          <w:b/>
          <w:color w:val="000000"/>
        </w:rPr>
      </w:pPr>
      <w:r>
        <w:rPr>
          <w:rFonts w:asciiTheme="minorHAnsi" w:hAnsiTheme="minorHAnsi" w:cstheme="minorHAnsi"/>
          <w:b/>
          <w:color w:val="000000" w:themeColor="text1"/>
        </w:rPr>
        <w:lastRenderedPageBreak/>
        <w:t>Wissenschaftlich abgesicherter Online-Fragebogen</w:t>
      </w:r>
    </w:p>
    <w:p w:rsidR="00DF5670" w:rsidRDefault="00DF5670">
      <w:pPr>
        <w:pStyle w:val="StandardWeb"/>
        <w:widowControl w:val="0"/>
        <w:spacing w:before="0" w:beforeAutospacing="0" w:after="0" w:afterAutospacing="0"/>
        <w:rPr>
          <w:rFonts w:asciiTheme="minorHAnsi" w:hAnsiTheme="minorHAnsi" w:cstheme="minorHAnsi"/>
        </w:rPr>
      </w:pPr>
    </w:p>
    <w:p w:rsidR="00DF5670" w:rsidRDefault="005715B8">
      <w:pPr>
        <w:spacing w:line="276" w:lineRule="auto"/>
        <w:rPr>
          <w:rFonts w:asciiTheme="minorHAnsi" w:hAnsiTheme="minorHAnsi" w:cstheme="minorHAnsi"/>
          <w:color w:val="000000"/>
          <w:sz w:val="24"/>
        </w:rPr>
      </w:pPr>
      <w:r>
        <w:rPr>
          <w:rFonts w:asciiTheme="minorHAnsi" w:hAnsiTheme="minorHAnsi" w:cstheme="minorHAnsi"/>
          <w:sz w:val="24"/>
        </w:rPr>
        <w:t xml:space="preserve">Deshalb hat das Team von digiDEM Bayern ein weiteres digitales Angebot entwickelt: den Online-Fragebogen IQCODE zur Fremdeinschätzung der Gedächtnisleistung durch </w:t>
      </w:r>
      <w:r w:rsidR="00DC1976">
        <w:rPr>
          <w:rFonts w:asciiTheme="minorHAnsi" w:hAnsiTheme="minorHAnsi" w:cstheme="minorHAnsi"/>
          <w:sz w:val="24"/>
        </w:rPr>
        <w:t>Dritte</w:t>
      </w:r>
      <w:r>
        <w:rPr>
          <w:rFonts w:asciiTheme="minorHAnsi" w:hAnsiTheme="minorHAnsi" w:cstheme="minorHAnsi"/>
          <w:sz w:val="24"/>
        </w:rPr>
        <w:t xml:space="preserve">. </w:t>
      </w:r>
      <w:r>
        <w:rPr>
          <w:rFonts w:asciiTheme="minorHAnsi" w:hAnsiTheme="minorHAnsi" w:cstheme="minorHAnsi"/>
          <w:color w:val="000000"/>
          <w:sz w:val="24"/>
        </w:rPr>
        <w:t xml:space="preserve">Mit Hilfe eines speziellen Online-Fragebogens können nahestehende Personen von </w:t>
      </w:r>
      <w:r w:rsidR="00DC1976">
        <w:rPr>
          <w:rFonts w:asciiTheme="minorHAnsi" w:hAnsiTheme="minorHAnsi" w:cstheme="minorHAnsi"/>
          <w:color w:val="000000"/>
          <w:sz w:val="24"/>
        </w:rPr>
        <w:t>Betroffenen</w:t>
      </w:r>
      <w:r>
        <w:rPr>
          <w:rFonts w:asciiTheme="minorHAnsi" w:hAnsiTheme="minorHAnsi" w:cstheme="minorHAnsi"/>
          <w:color w:val="000000"/>
          <w:sz w:val="24"/>
        </w:rPr>
        <w:t xml:space="preserve"> deren kognitiven Abbau einschätzen. Bei dem Fragebogen IQCODE handelt es sich um ein weltweit verbreitetes und wissenschaftlich abgesichertes Früherkennungsinstrument für demenzielle </w:t>
      </w:r>
      <w:r>
        <w:rPr>
          <w:rFonts w:asciiTheme="minorHAnsi" w:hAnsiTheme="minorHAnsi" w:cstheme="minorHAnsi"/>
          <w:color w:val="000000" w:themeColor="text1"/>
          <w:sz w:val="24"/>
        </w:rPr>
        <w:t xml:space="preserve">Erkrankungen. </w:t>
      </w:r>
    </w:p>
    <w:p w:rsidR="00DF5670" w:rsidRDefault="00DF5670">
      <w:pPr>
        <w:spacing w:line="276" w:lineRule="auto"/>
        <w:rPr>
          <w:rFonts w:asciiTheme="minorHAnsi" w:hAnsiTheme="minorHAnsi" w:cstheme="minorHAnsi"/>
          <w:color w:val="000000"/>
          <w:sz w:val="24"/>
        </w:rPr>
      </w:pPr>
    </w:p>
    <w:p w:rsidR="00DF5670" w:rsidRDefault="005715B8">
      <w:pPr>
        <w:spacing w:line="276" w:lineRule="auto"/>
        <w:rPr>
          <w:rFonts w:asciiTheme="minorHAnsi" w:hAnsiTheme="minorHAnsi" w:cstheme="minorHAnsi"/>
          <w:sz w:val="24"/>
        </w:rPr>
      </w:pPr>
      <w:r>
        <w:rPr>
          <w:rFonts w:asciiTheme="minorHAnsi" w:hAnsiTheme="minorHAnsi" w:cstheme="minorHAnsi"/>
          <w:sz w:val="24"/>
        </w:rPr>
        <w:t xml:space="preserve">Der IQCODE-Fragebogen (Informant Questionnaire on Cognitive Decline in the Elderly, übersetzt: Fragebogen für Bezugspersonen zum kognitiven Abbau bei älteren Menschen) ist ein wissenschaftlich erprobtes Verfahren. In seiner Qualität ist der </w:t>
      </w:r>
      <w:r>
        <w:rPr>
          <w:rFonts w:asciiTheme="minorHAnsi" w:hAnsiTheme="minorHAnsi" w:cstheme="minorHAnsi"/>
          <w:color w:val="000000"/>
          <w:sz w:val="24"/>
        </w:rPr>
        <w:t xml:space="preserve">Fragebogen vergleichbar mit anderen bewährten diagnostischen Fragebögen wie zum Beispiel dem Mini Mental Status Test (MMST). Empfohlen wird der </w:t>
      </w:r>
      <w:r>
        <w:rPr>
          <w:rFonts w:asciiTheme="minorHAnsi" w:hAnsiTheme="minorHAnsi" w:cstheme="minorHAnsi"/>
          <w:sz w:val="24"/>
        </w:rPr>
        <w:t xml:space="preserve">IQCODE-Fragebogen in den "Leitlinien zur Diagnostik von Demenzen" von NICE, dem National Institute for Health and Care Excellence in England sowie von SIGN, dem Scottish Intercollegiate Guidelines Network. </w:t>
      </w:r>
    </w:p>
    <w:p w:rsidR="00DF5670" w:rsidRDefault="00DF5670">
      <w:pPr>
        <w:spacing w:line="276" w:lineRule="auto"/>
        <w:rPr>
          <w:rFonts w:asciiTheme="minorHAnsi" w:hAnsiTheme="minorHAnsi" w:cstheme="minorHAnsi"/>
          <w:sz w:val="24"/>
        </w:rPr>
      </w:pPr>
    </w:p>
    <w:p w:rsidR="00DF5670" w:rsidRDefault="0052741A">
      <w:pPr>
        <w:spacing w:line="276" w:lineRule="auto"/>
        <w:rPr>
          <w:rFonts w:asciiTheme="minorHAnsi" w:hAnsiTheme="minorHAnsi" w:cstheme="minorHAnsi"/>
          <w:color w:val="000000"/>
          <w:sz w:val="24"/>
        </w:rPr>
      </w:pPr>
      <w:r>
        <w:rPr>
          <w:rFonts w:asciiTheme="minorHAnsi" w:hAnsiTheme="minorHAnsi" w:cstheme="minorHAnsi"/>
          <w:color w:val="000000"/>
          <w:sz w:val="24"/>
        </w:rPr>
        <w:t>Mit Hilfe des Online-Fragebogens werden</w:t>
      </w:r>
      <w:r w:rsidR="005715B8">
        <w:rPr>
          <w:rFonts w:asciiTheme="minorHAnsi" w:hAnsiTheme="minorHAnsi" w:cstheme="minorHAnsi"/>
          <w:color w:val="000000"/>
          <w:sz w:val="24"/>
        </w:rPr>
        <w:t xml:space="preserve"> </w:t>
      </w:r>
      <w:r>
        <w:rPr>
          <w:rFonts w:asciiTheme="minorHAnsi" w:hAnsiTheme="minorHAnsi" w:cstheme="minorHAnsi"/>
          <w:color w:val="000000"/>
          <w:sz w:val="24"/>
        </w:rPr>
        <w:t>kognitive</w:t>
      </w:r>
      <w:r w:rsidR="005715B8">
        <w:rPr>
          <w:rFonts w:asciiTheme="minorHAnsi" w:hAnsiTheme="minorHAnsi" w:cstheme="minorHAnsi"/>
          <w:color w:val="000000"/>
          <w:sz w:val="24"/>
        </w:rPr>
        <w:t xml:space="preserve"> Veränderungen innerhalb</w:t>
      </w:r>
      <w:r>
        <w:rPr>
          <w:rFonts w:asciiTheme="minorHAnsi" w:hAnsiTheme="minorHAnsi" w:cstheme="minorHAnsi"/>
          <w:color w:val="000000"/>
          <w:sz w:val="24"/>
        </w:rPr>
        <w:t xml:space="preserve"> der vergangenen beiden Jahre erfasst</w:t>
      </w:r>
      <w:r w:rsidR="005715B8">
        <w:rPr>
          <w:rFonts w:asciiTheme="minorHAnsi" w:hAnsiTheme="minorHAnsi" w:cstheme="minorHAnsi"/>
          <w:color w:val="000000"/>
          <w:sz w:val="24"/>
        </w:rPr>
        <w:t>. Erinnert sich der Senior besser oder weniger gut als vor zwei Jahren zum Beispiel an den Geburtstag eines Verwandten? Weiß die ältere Dame heute genauso wie vor zwei Jahren, welcher Tag und Monat es ist? Oder hat sich ihr Erinnerungsvermögen in diesem Zeitraum verschlechtert?</w:t>
      </w:r>
    </w:p>
    <w:p w:rsidR="00DF5670" w:rsidRDefault="00DF5670">
      <w:pPr>
        <w:spacing w:line="276" w:lineRule="auto"/>
        <w:jc w:val="both"/>
        <w:rPr>
          <w:rFonts w:asciiTheme="minorHAnsi" w:hAnsiTheme="minorHAnsi" w:cstheme="minorHAnsi"/>
          <w:color w:val="000000"/>
          <w:sz w:val="24"/>
        </w:rPr>
      </w:pPr>
    </w:p>
    <w:p w:rsidR="00DF5670" w:rsidRDefault="005715B8">
      <w:pPr>
        <w:spacing w:line="276" w:lineRule="auto"/>
        <w:rPr>
          <w:rFonts w:asciiTheme="minorHAnsi" w:hAnsiTheme="minorHAnsi" w:cstheme="minorHAnsi"/>
          <w:b/>
          <w:color w:val="000000"/>
          <w:sz w:val="24"/>
        </w:rPr>
      </w:pPr>
      <w:r>
        <w:rPr>
          <w:rFonts w:asciiTheme="minorHAnsi" w:hAnsiTheme="minorHAnsi" w:cstheme="minorHAnsi"/>
          <w:b/>
          <w:color w:val="000000"/>
          <w:sz w:val="24"/>
        </w:rPr>
        <w:t>Leicht zugänglich und mehrsprachig</w:t>
      </w:r>
    </w:p>
    <w:p w:rsidR="00DF5670" w:rsidRDefault="00DF5670">
      <w:pPr>
        <w:spacing w:line="276" w:lineRule="auto"/>
        <w:rPr>
          <w:rFonts w:asciiTheme="minorHAnsi" w:hAnsiTheme="minorHAnsi" w:cstheme="minorHAnsi"/>
          <w:b/>
          <w:color w:val="000000"/>
          <w:sz w:val="24"/>
        </w:rPr>
      </w:pPr>
    </w:p>
    <w:p w:rsidR="00DF5670" w:rsidRDefault="005715B8">
      <w:pPr>
        <w:spacing w:line="276" w:lineRule="auto"/>
        <w:rPr>
          <w:rFonts w:asciiTheme="minorHAnsi" w:hAnsiTheme="minorHAnsi" w:cstheme="minorHAnsi"/>
          <w:color w:val="000000"/>
          <w:sz w:val="24"/>
        </w:rPr>
      </w:pPr>
      <w:r>
        <w:rPr>
          <w:rFonts w:asciiTheme="minorHAnsi" w:hAnsiTheme="minorHAnsi" w:cstheme="minorHAnsi"/>
          <w:sz w:val="24"/>
        </w:rPr>
        <w:t xml:space="preserve">Der kostenfrei nutzbare Online-Fragebogen richtet sich an nahestehende Bezugspersonen des zu beurteilenden Menschen. </w:t>
      </w:r>
      <w:r>
        <w:rPr>
          <w:rFonts w:asciiTheme="minorHAnsi" w:hAnsiTheme="minorHAnsi" w:cstheme="minorHAnsi"/>
          <w:color w:val="000000"/>
          <w:sz w:val="24"/>
        </w:rPr>
        <w:t xml:space="preserve">Ob mit dem PC auf dem Wohnzimmer- oder Küchentisch oder mit dem Mobiltelefon - das neue digitale Angebot von digiDEM Bayern ist bewusst niederschwellig gehalten und außerdem in fünf Sprachen verfügbar: deutsch, englisch, türkisch, russisch und arabisch. Wer die Fragen beantwortet, muss die zu beurteilende Person mindestens seit zwei Jahren kennen. </w:t>
      </w:r>
    </w:p>
    <w:p w:rsidR="00DF5670" w:rsidRDefault="00DF5670">
      <w:pPr>
        <w:spacing w:line="276" w:lineRule="auto"/>
        <w:rPr>
          <w:rFonts w:asciiTheme="minorHAnsi" w:hAnsiTheme="minorHAnsi" w:cstheme="minorHAnsi"/>
          <w:color w:val="000000"/>
          <w:sz w:val="24"/>
        </w:rPr>
      </w:pPr>
    </w:p>
    <w:p w:rsidR="00DF5670" w:rsidRDefault="005715B8">
      <w:pPr>
        <w:spacing w:line="276" w:lineRule="auto"/>
        <w:rPr>
          <w:rFonts w:asciiTheme="minorHAnsi" w:hAnsiTheme="minorHAnsi" w:cstheme="minorHAnsi"/>
          <w:color w:val="000000"/>
          <w:sz w:val="24"/>
        </w:rPr>
      </w:pPr>
      <w:r>
        <w:rPr>
          <w:rFonts w:asciiTheme="minorHAnsi" w:hAnsiTheme="minorHAnsi" w:cstheme="minorHAnsi"/>
          <w:color w:val="000000"/>
          <w:sz w:val="24"/>
        </w:rPr>
        <w:t xml:space="preserve">Das neue digitale Angebot weiß seine Stärke auszuspielen. Als Screeninginstrument kommt es zum Einsatz, wenn </w:t>
      </w:r>
      <w:r w:rsidR="004B6F16">
        <w:rPr>
          <w:rFonts w:asciiTheme="minorHAnsi" w:hAnsiTheme="minorHAnsi" w:cstheme="minorHAnsi"/>
          <w:color w:val="000000"/>
          <w:sz w:val="24"/>
        </w:rPr>
        <w:t>die Betroffenen</w:t>
      </w:r>
      <w:r>
        <w:rPr>
          <w:rFonts w:asciiTheme="minorHAnsi" w:hAnsiTheme="minorHAnsi" w:cstheme="minorHAnsi"/>
          <w:color w:val="000000"/>
          <w:sz w:val="24"/>
        </w:rPr>
        <w:t xml:space="preserve"> sich zum Beispiel keiner ärztlichen Untersuchung unterziehen oder in Pandemiezeiten persönliche Kontakte reduzieren möchten. </w:t>
      </w:r>
    </w:p>
    <w:p w:rsidR="00DF5670" w:rsidRDefault="00DF5670">
      <w:pPr>
        <w:spacing w:line="276" w:lineRule="auto"/>
        <w:rPr>
          <w:rFonts w:asciiTheme="minorHAnsi" w:hAnsiTheme="minorHAnsi" w:cstheme="minorHAnsi"/>
          <w:b/>
          <w:color w:val="000000"/>
          <w:sz w:val="24"/>
        </w:rPr>
      </w:pPr>
    </w:p>
    <w:p w:rsidR="00DF5670" w:rsidRDefault="005715B8">
      <w:pPr>
        <w:spacing w:line="276" w:lineRule="auto"/>
        <w:rPr>
          <w:rFonts w:asciiTheme="minorHAnsi" w:hAnsiTheme="minorHAnsi" w:cstheme="minorHAnsi"/>
          <w:b/>
          <w:color w:val="000000"/>
          <w:sz w:val="24"/>
        </w:rPr>
      </w:pPr>
      <w:r>
        <w:rPr>
          <w:rFonts w:asciiTheme="minorHAnsi" w:hAnsiTheme="minorHAnsi" w:cstheme="minorHAnsi"/>
          <w:b/>
          <w:color w:val="000000"/>
          <w:sz w:val="24"/>
        </w:rPr>
        <w:t>Erster Schritt zu einer weiterführenden Diagnostik</w:t>
      </w:r>
    </w:p>
    <w:p w:rsidR="00DF5670" w:rsidRDefault="00DF5670">
      <w:pPr>
        <w:spacing w:line="276" w:lineRule="auto"/>
        <w:rPr>
          <w:rFonts w:asciiTheme="minorHAnsi" w:hAnsiTheme="minorHAnsi" w:cstheme="minorHAnsi"/>
          <w:color w:val="000000"/>
          <w:sz w:val="24"/>
        </w:rPr>
      </w:pPr>
    </w:p>
    <w:p w:rsidR="00DF5670" w:rsidRDefault="005715B8">
      <w:pPr>
        <w:spacing w:line="276" w:lineRule="auto"/>
        <w:rPr>
          <w:rStyle w:val="apple-converted-space"/>
          <w:rFonts w:asciiTheme="minorHAnsi" w:hAnsiTheme="minorHAnsi" w:cstheme="minorHAnsi"/>
          <w:color w:val="000000"/>
          <w:sz w:val="24"/>
        </w:rPr>
      </w:pPr>
      <w:r>
        <w:rPr>
          <w:rFonts w:asciiTheme="minorHAnsi" w:hAnsiTheme="minorHAnsi" w:cstheme="minorHAnsi"/>
          <w:color w:val="000000"/>
          <w:sz w:val="24"/>
        </w:rPr>
        <w:t xml:space="preserve">Der Fragebogen zur Beurteilung der kognitiven Fähigkeiten umfasst insgesamt sieben Fragen mit jeweils fünf Antwortmöglichkeiten. Sind die Antworten angekreuzt, erhält jeder, der den Fragebogen nutzt, eine übersichtliche Gesamtbeurteilung. Ist ein bestimmter Richtwert erreicht, wird eine differenzierte und umfassende Abklärung in einer spezialisierten </w:t>
      </w:r>
      <w:r>
        <w:rPr>
          <w:rFonts w:asciiTheme="minorHAnsi" w:hAnsiTheme="minorHAnsi" w:cstheme="minorHAnsi"/>
          <w:color w:val="000000"/>
          <w:sz w:val="24"/>
        </w:rPr>
        <w:lastRenderedPageBreak/>
        <w:t>diagnostischen Einrichtung, zum Beispiel in einer Gedächtnisambulanz, empfohlen.</w:t>
      </w:r>
      <w:r>
        <w:rPr>
          <w:rStyle w:val="apple-converted-space"/>
          <w:rFonts w:asciiTheme="minorHAnsi" w:hAnsiTheme="minorHAnsi" w:cstheme="minorHAnsi"/>
          <w:color w:val="000000"/>
          <w:sz w:val="24"/>
        </w:rPr>
        <w:t> Zum Serviceumfang gehört daher auch eine Übersichtskarte über die Standorte bayerischer Gedächtnisambulanzen.</w:t>
      </w:r>
    </w:p>
    <w:p w:rsidR="00DF5670" w:rsidRDefault="005715B8">
      <w:pPr>
        <w:spacing w:line="276" w:lineRule="auto"/>
        <w:rPr>
          <w:rFonts w:asciiTheme="minorHAnsi" w:hAnsiTheme="minorHAnsi" w:cstheme="minorHAnsi"/>
          <w:color w:val="000000"/>
          <w:sz w:val="24"/>
        </w:rPr>
      </w:pPr>
      <w:r>
        <w:rPr>
          <w:rFonts w:asciiTheme="minorHAnsi" w:hAnsiTheme="minorHAnsi" w:cstheme="minorHAnsi"/>
          <w:color w:val="000000"/>
          <w:sz w:val="24"/>
        </w:rPr>
        <w:t xml:space="preserve">"Der Fragebogen bietet einen sehr guten Einstieg hin zu einer weiterführenden Diagnostik", erläutert </w:t>
      </w:r>
      <w:r>
        <w:rPr>
          <w:rFonts w:asciiTheme="minorHAnsi" w:hAnsiTheme="minorHAnsi" w:cstheme="minorHAnsi"/>
          <w:sz w:val="24"/>
        </w:rPr>
        <w:t xml:space="preserve">Prof. Dr. med. Peter Kolominsky-Rabas. </w:t>
      </w:r>
      <w:r>
        <w:rPr>
          <w:rFonts w:asciiTheme="minorHAnsi" w:hAnsiTheme="minorHAnsi" w:cstheme="minorHAnsi"/>
          <w:color w:val="000000" w:themeColor="text1"/>
          <w:sz w:val="24"/>
        </w:rPr>
        <w:t xml:space="preserve">"Die Beurteilung der Gedächtnisleistung ist ein großer Schritt, um eine Demenzerkrankung schneller abklären zu lassen. Aus wissenschaftlich erhobenen bayerischen Daten wissen wir, dass bis zur Diagnosestellung eineinhalb bis zwei Jahre vergehen können." Die spezielle ärztliche Diagnosestellung ersetzt der Online-Fragebogen nicht. </w:t>
      </w:r>
    </w:p>
    <w:p w:rsidR="00DF5670" w:rsidRDefault="00DF5670">
      <w:pPr>
        <w:spacing w:line="276" w:lineRule="auto"/>
        <w:rPr>
          <w:rFonts w:asciiTheme="minorHAnsi" w:hAnsiTheme="minorHAnsi" w:cstheme="minorHAnsi"/>
          <w:color w:val="000000"/>
          <w:sz w:val="24"/>
        </w:rPr>
      </w:pPr>
    </w:p>
    <w:p w:rsidR="00DF5670" w:rsidRDefault="005715B8">
      <w:pPr>
        <w:spacing w:line="276" w:lineRule="auto"/>
        <w:rPr>
          <w:rFonts w:asciiTheme="minorHAnsi" w:hAnsiTheme="minorHAnsi" w:cstheme="minorHAnsi"/>
          <w:b/>
          <w:sz w:val="24"/>
        </w:rPr>
      </w:pPr>
      <w:r>
        <w:rPr>
          <w:rFonts w:asciiTheme="minorHAnsi" w:hAnsiTheme="minorHAnsi" w:cstheme="minorHAnsi"/>
          <w:b/>
          <w:sz w:val="24"/>
        </w:rPr>
        <w:t>Zeitgerechte Diagnosestellung</w:t>
      </w:r>
    </w:p>
    <w:p w:rsidR="00DF5670" w:rsidRDefault="00DF5670">
      <w:pPr>
        <w:spacing w:line="276" w:lineRule="auto"/>
        <w:rPr>
          <w:rFonts w:asciiTheme="minorHAnsi" w:hAnsiTheme="minorHAnsi" w:cstheme="minorHAnsi"/>
          <w:sz w:val="24"/>
        </w:rPr>
      </w:pPr>
    </w:p>
    <w:p w:rsidR="00DF5670" w:rsidRDefault="005715B8">
      <w:pPr>
        <w:spacing w:line="276" w:lineRule="auto"/>
        <w:rPr>
          <w:rFonts w:asciiTheme="minorHAnsi" w:hAnsiTheme="minorHAnsi" w:cstheme="minorHAnsi"/>
          <w:sz w:val="24"/>
        </w:rPr>
      </w:pPr>
      <w:r>
        <w:rPr>
          <w:rFonts w:asciiTheme="minorHAnsi" w:hAnsiTheme="minorHAnsi" w:cstheme="minorHAnsi"/>
          <w:sz w:val="24"/>
        </w:rPr>
        <w:t>„Zum ersten Mal wird Fam</w:t>
      </w:r>
      <w:r w:rsidR="00C273E1">
        <w:rPr>
          <w:rFonts w:asciiTheme="minorHAnsi" w:hAnsiTheme="minorHAnsi" w:cstheme="minorHAnsi"/>
          <w:sz w:val="24"/>
        </w:rPr>
        <w:t>ilienangehörigen, Freunden, ehrenamtlich Tätigen</w:t>
      </w:r>
      <w:r>
        <w:rPr>
          <w:rFonts w:asciiTheme="minorHAnsi" w:hAnsiTheme="minorHAnsi" w:cstheme="minorHAnsi"/>
          <w:sz w:val="24"/>
        </w:rPr>
        <w:t xml:space="preserve"> </w:t>
      </w:r>
      <w:r w:rsidR="00C273E1">
        <w:rPr>
          <w:rFonts w:asciiTheme="minorHAnsi" w:hAnsiTheme="minorHAnsi" w:cstheme="minorHAnsi"/>
          <w:sz w:val="24"/>
        </w:rPr>
        <w:t xml:space="preserve">und professionell Pflegenden </w:t>
      </w:r>
      <w:r>
        <w:rPr>
          <w:rFonts w:asciiTheme="minorHAnsi" w:hAnsiTheme="minorHAnsi" w:cstheme="minorHAnsi"/>
          <w:sz w:val="24"/>
        </w:rPr>
        <w:t xml:space="preserve">die Möglichkeit eröffnet, mit einem wissenschaftlich zuverlässigen Fragebogen die Gedächtnisleistung des nahestehenden Menschen einzuschätzen", </w:t>
      </w:r>
      <w:r>
        <w:rPr>
          <w:rFonts w:asciiTheme="minorHAnsi" w:hAnsiTheme="minorHAnsi" w:cstheme="minorHAnsi"/>
          <w:color w:val="000000"/>
          <w:sz w:val="24"/>
        </w:rPr>
        <w:t xml:space="preserve">erklärt </w:t>
      </w:r>
      <w:r>
        <w:rPr>
          <w:rFonts w:asciiTheme="minorHAnsi" w:hAnsiTheme="minorHAnsi" w:cstheme="minorHAnsi"/>
          <w:sz w:val="24"/>
        </w:rPr>
        <w:t>Prof. Dr. med. Peter Kolominsky-Rabas. Der digiDEM Bayern-Projektleiter betont: „Mit dem Fragebogen unternehmen Angehörige aktiv den ersten wichtigen Schritt zur Anbahnung einer zeitgerechten Diagnosestellung.“</w:t>
      </w:r>
    </w:p>
    <w:p w:rsidR="00DF5670" w:rsidRDefault="00DF5670">
      <w:pPr>
        <w:spacing w:line="276" w:lineRule="auto"/>
        <w:rPr>
          <w:rFonts w:asciiTheme="minorHAnsi" w:hAnsiTheme="minorHAnsi" w:cstheme="minorHAnsi"/>
          <w:sz w:val="24"/>
        </w:rPr>
      </w:pPr>
    </w:p>
    <w:p w:rsidR="00ED19B4" w:rsidRDefault="00ED19B4">
      <w:pPr>
        <w:spacing w:line="276" w:lineRule="auto"/>
        <w:rPr>
          <w:rFonts w:asciiTheme="minorHAnsi" w:hAnsiTheme="minorHAnsi" w:cstheme="minorHAnsi"/>
          <w:sz w:val="24"/>
        </w:rPr>
      </w:pPr>
    </w:p>
    <w:p w:rsidR="00D756B1" w:rsidRDefault="00D756B1">
      <w:pPr>
        <w:spacing w:line="276" w:lineRule="auto"/>
        <w:rPr>
          <w:rFonts w:asciiTheme="minorHAnsi" w:hAnsiTheme="minorHAnsi" w:cstheme="minorHAnsi"/>
          <w:sz w:val="24"/>
        </w:rPr>
      </w:pPr>
    </w:p>
    <w:p w:rsidR="00ED19B4" w:rsidRDefault="005715B8">
      <w:pPr>
        <w:spacing w:line="276" w:lineRule="auto"/>
        <w:rPr>
          <w:rFonts w:asciiTheme="minorHAnsi" w:hAnsiTheme="minorHAnsi" w:cstheme="minorHAnsi"/>
          <w:b/>
          <w:sz w:val="24"/>
        </w:rPr>
      </w:pPr>
      <w:r>
        <w:rPr>
          <w:rFonts w:asciiTheme="minorHAnsi" w:hAnsiTheme="minorHAnsi" w:cstheme="minorHAnsi"/>
          <w:b/>
          <w:sz w:val="24"/>
        </w:rPr>
        <w:t xml:space="preserve">Zum </w:t>
      </w:r>
      <w:r w:rsidR="00ED19B4">
        <w:rPr>
          <w:rFonts w:asciiTheme="minorHAnsi" w:hAnsiTheme="minorHAnsi" w:cstheme="minorHAnsi"/>
          <w:b/>
          <w:sz w:val="24"/>
        </w:rPr>
        <w:t>Online-</w:t>
      </w:r>
      <w:r>
        <w:rPr>
          <w:rFonts w:asciiTheme="minorHAnsi" w:hAnsiTheme="minorHAnsi" w:cstheme="minorHAnsi"/>
          <w:b/>
          <w:sz w:val="24"/>
        </w:rPr>
        <w:t>Fragebogen gelangen Interessierte hier:</w:t>
      </w:r>
    </w:p>
    <w:p w:rsidR="005F50F0" w:rsidRPr="005F50F0" w:rsidRDefault="00D756B1">
      <w:pPr>
        <w:spacing w:line="276" w:lineRule="auto"/>
        <w:rPr>
          <w:rFonts w:ascii="Calibri" w:hAnsi="Calibri" w:cs="Calibri"/>
          <w:sz w:val="24"/>
        </w:rPr>
      </w:pPr>
      <w:hyperlink r:id="rId7" w:history="1">
        <w:r w:rsidR="005F50F0" w:rsidRPr="005F50F0">
          <w:rPr>
            <w:rStyle w:val="Hyperlink"/>
            <w:rFonts w:ascii="Calibri" w:hAnsi="Calibri" w:cs="Calibri"/>
            <w:sz w:val="24"/>
          </w:rPr>
          <w:t>https://digidem-bayern.de/digitales-angebot-fremdbeurteilung-der-gedaechtnisleistung/</w:t>
        </w:r>
      </w:hyperlink>
    </w:p>
    <w:p w:rsidR="005F50F0" w:rsidRDefault="005F50F0">
      <w:pPr>
        <w:spacing w:line="276" w:lineRule="auto"/>
        <w:rPr>
          <w:rFonts w:asciiTheme="minorHAnsi" w:hAnsiTheme="minorHAnsi" w:cstheme="minorHAnsi"/>
          <w:sz w:val="24"/>
        </w:rPr>
      </w:pPr>
    </w:p>
    <w:p w:rsidR="00DF5670" w:rsidRDefault="005715B8">
      <w:pPr>
        <w:spacing w:line="276" w:lineRule="auto"/>
        <w:rPr>
          <w:rFonts w:asciiTheme="minorHAnsi" w:hAnsiTheme="minorHAnsi" w:cstheme="minorHAnsi"/>
          <w:b/>
          <w:sz w:val="24"/>
        </w:rPr>
      </w:pPr>
      <w:r>
        <w:rPr>
          <w:rFonts w:asciiTheme="minorHAnsi" w:hAnsiTheme="minorHAnsi" w:cstheme="minorHAnsi"/>
          <w:b/>
          <w:sz w:val="24"/>
        </w:rPr>
        <w:t>Info-Tipp:</w:t>
      </w:r>
    </w:p>
    <w:p w:rsidR="00DF5670" w:rsidRDefault="005715B8">
      <w:pPr>
        <w:spacing w:line="276" w:lineRule="auto"/>
        <w:rPr>
          <w:rFonts w:asciiTheme="minorHAnsi" w:hAnsiTheme="minorHAnsi" w:cstheme="minorHAnsi"/>
          <w:sz w:val="24"/>
        </w:rPr>
      </w:pPr>
      <w:r>
        <w:rPr>
          <w:rFonts w:asciiTheme="minorHAnsi" w:hAnsiTheme="minorHAnsi" w:cstheme="minorHAnsi"/>
          <w:sz w:val="24"/>
        </w:rPr>
        <w:t xml:space="preserve">Die Beurteilung der Gedächtnisleistung mit dem IQCODE-Fragebogen ist Thema des nächsten </w:t>
      </w:r>
      <w:r>
        <w:rPr>
          <w:rFonts w:asciiTheme="minorHAnsi" w:hAnsiTheme="minorHAnsi" w:cstheme="minorHAnsi"/>
          <w:b/>
          <w:sz w:val="24"/>
        </w:rPr>
        <w:t>digiDEM-Bayern-Live-Webinars am Dienstag, 05.04.2022 von 11.00 bis 11.45 Uhr</w:t>
      </w:r>
      <w:r>
        <w:rPr>
          <w:rFonts w:asciiTheme="minorHAnsi" w:hAnsiTheme="minorHAnsi" w:cstheme="minorHAnsi"/>
          <w:sz w:val="24"/>
        </w:rPr>
        <w:t>.</w:t>
      </w:r>
    </w:p>
    <w:p w:rsidR="005F50F0" w:rsidRDefault="005F50F0">
      <w:pPr>
        <w:spacing w:line="276" w:lineRule="auto"/>
        <w:rPr>
          <w:rFonts w:asciiTheme="minorHAnsi" w:hAnsiTheme="minorHAnsi" w:cstheme="minorHAnsi"/>
          <w:sz w:val="24"/>
        </w:rPr>
      </w:pPr>
    </w:p>
    <w:p w:rsidR="00DF5670" w:rsidRDefault="005715B8">
      <w:pPr>
        <w:spacing w:line="276" w:lineRule="auto"/>
        <w:rPr>
          <w:rFonts w:asciiTheme="minorHAnsi" w:hAnsiTheme="minorHAnsi" w:cstheme="minorHAnsi"/>
          <w:color w:val="1F497D"/>
          <w:sz w:val="24"/>
        </w:rPr>
      </w:pPr>
      <w:r w:rsidRPr="00ED19B4">
        <w:rPr>
          <w:rFonts w:asciiTheme="minorHAnsi" w:hAnsiTheme="minorHAnsi" w:cstheme="minorHAnsi"/>
          <w:b/>
          <w:sz w:val="24"/>
        </w:rPr>
        <w:t>Link zur Anmeldung</w:t>
      </w:r>
      <w:r>
        <w:rPr>
          <w:rFonts w:asciiTheme="minorHAnsi" w:hAnsiTheme="minorHAnsi" w:cstheme="minorHAnsi"/>
          <w:sz w:val="24"/>
        </w:rPr>
        <w:t xml:space="preserve">: </w:t>
      </w:r>
      <w:hyperlink r:id="rId8" w:tooltip="https://attendee.gotowebinar.com/register/2078711816714088715" w:history="1">
        <w:r>
          <w:rPr>
            <w:rStyle w:val="Hyperlink"/>
            <w:rFonts w:asciiTheme="minorHAnsi" w:hAnsiTheme="minorHAnsi" w:cstheme="minorHAnsi"/>
            <w:sz w:val="24"/>
          </w:rPr>
          <w:t>https://attendee.gotowebinar.com/register/2078711816714088715</w:t>
        </w:r>
      </w:hyperlink>
    </w:p>
    <w:p w:rsidR="00DF5670" w:rsidRDefault="00DF5670">
      <w:pPr>
        <w:rPr>
          <w:rFonts w:asciiTheme="minorHAnsi" w:hAnsiTheme="minorHAnsi" w:cstheme="minorHAnsi"/>
          <w:color w:val="1F497D"/>
          <w:sz w:val="24"/>
        </w:rPr>
      </w:pPr>
    </w:p>
    <w:p w:rsidR="00DF5670" w:rsidRDefault="00DF5670">
      <w:pPr>
        <w:rPr>
          <w:rFonts w:asciiTheme="minorHAnsi" w:hAnsiTheme="minorHAnsi" w:cstheme="minorHAnsi"/>
          <w:sz w:val="24"/>
        </w:rPr>
      </w:pPr>
    </w:p>
    <w:p w:rsidR="00DF5670" w:rsidRDefault="005715B8">
      <w:pPr>
        <w:spacing w:line="276" w:lineRule="auto"/>
        <w:rPr>
          <w:rFonts w:asciiTheme="minorHAnsi" w:hAnsiTheme="minorHAnsi" w:cstheme="minorHAnsi"/>
          <w:b/>
          <w:sz w:val="24"/>
        </w:rPr>
      </w:pPr>
      <w:r>
        <w:rPr>
          <w:rFonts w:asciiTheme="minorHAnsi" w:hAnsiTheme="minorHAnsi" w:cstheme="minorHAnsi"/>
          <w:b/>
          <w:sz w:val="24"/>
        </w:rPr>
        <w:t>Wissenschaftliche Originalstudien:</w:t>
      </w:r>
    </w:p>
    <w:p w:rsidR="00DF5670" w:rsidRPr="0056738D" w:rsidRDefault="005715B8">
      <w:pPr>
        <w:spacing w:line="276" w:lineRule="auto"/>
        <w:rPr>
          <w:rFonts w:asciiTheme="minorHAnsi" w:hAnsiTheme="minorHAnsi" w:cstheme="minorHAnsi"/>
          <w:szCs w:val="20"/>
        </w:rPr>
      </w:pPr>
      <w:r w:rsidRPr="0056738D">
        <w:rPr>
          <w:rFonts w:asciiTheme="minorHAnsi" w:hAnsiTheme="minorHAnsi" w:cstheme="minorHAnsi"/>
          <w:szCs w:val="20"/>
        </w:rPr>
        <w:t>Ehrensperger, M., Berres, M., Taylor, K., &amp; Monsch, A. (2010). Screening properties of the German IQCODE with a two-year time frame in MCI and early Alzheimer&amp;apos;s disease. International Psychogeriatrics, 22(1), 91-100. doi:10.1017/S1041610209990962</w:t>
      </w:r>
    </w:p>
    <w:p w:rsidR="00D6363E" w:rsidRPr="0056738D" w:rsidRDefault="00D6363E">
      <w:pPr>
        <w:spacing w:line="276" w:lineRule="auto"/>
        <w:rPr>
          <w:rFonts w:ascii="Calibri" w:hAnsi="Calibri" w:cs="Calibri"/>
          <w:szCs w:val="20"/>
        </w:rPr>
      </w:pPr>
      <w:hyperlink r:id="rId9" w:history="1">
        <w:r w:rsidRPr="0056738D">
          <w:rPr>
            <w:rStyle w:val="Hyperlink"/>
            <w:rFonts w:ascii="Calibri" w:hAnsi="Calibri" w:cs="Calibri"/>
            <w:szCs w:val="20"/>
          </w:rPr>
          <w:t>https://www.cambridge.org/core/journals/international-psychogeriatrics/article/screening-properties-of-the-german-iqcode-with-a-twoyear-time-frame-in-mci-and-early-alzheimers-disease/B5AEDD9A42D1BD63926C97C8078DA8D8</w:t>
        </w:r>
      </w:hyperlink>
    </w:p>
    <w:p w:rsidR="00D6363E" w:rsidRPr="0056738D" w:rsidRDefault="00D6363E">
      <w:pPr>
        <w:spacing w:line="276" w:lineRule="auto"/>
        <w:rPr>
          <w:rFonts w:ascii="Calibri" w:hAnsi="Calibri" w:cs="Calibri"/>
          <w:szCs w:val="20"/>
        </w:rPr>
      </w:pPr>
    </w:p>
    <w:p w:rsidR="00D6363E" w:rsidRPr="0056738D" w:rsidRDefault="005715B8" w:rsidP="00D6363E">
      <w:pPr>
        <w:pStyle w:val="StandardWeb"/>
        <w:spacing w:before="0" w:beforeAutospacing="0" w:after="0" w:afterAutospacing="0" w:line="276" w:lineRule="auto"/>
        <w:rPr>
          <w:rFonts w:asciiTheme="minorHAnsi" w:hAnsiTheme="minorHAnsi" w:cstheme="minorHAnsi"/>
          <w:sz w:val="20"/>
          <w:szCs w:val="20"/>
        </w:rPr>
      </w:pPr>
      <w:r w:rsidRPr="0056738D">
        <w:rPr>
          <w:rFonts w:asciiTheme="minorHAnsi" w:hAnsiTheme="minorHAnsi" w:cstheme="minorHAnsi"/>
          <w:sz w:val="20"/>
          <w:szCs w:val="20"/>
        </w:rPr>
        <w:t xml:space="preserve">Eichler, T., Thyrian, J. R., Hertel, J., Michalowsky, B., Wucherer, D., Dreier, A., Kilimann, I., Teipel, S., &amp; Hoffmann, W. (2015). Rates of formal diagnosis of dementia in primary care. The effect of screening. </w:t>
      </w:r>
      <w:r w:rsidRPr="0056738D">
        <w:rPr>
          <w:rFonts w:asciiTheme="minorHAnsi" w:hAnsiTheme="minorHAnsi" w:cstheme="minorHAnsi"/>
          <w:i/>
          <w:iCs/>
          <w:sz w:val="20"/>
          <w:szCs w:val="20"/>
        </w:rPr>
        <w:t>Alzheimer&amp;apos;s &amp; dementia</w:t>
      </w:r>
      <w:r w:rsidRPr="0056738D">
        <w:rPr>
          <w:rFonts w:asciiTheme="minorHAnsi" w:hAnsiTheme="minorHAnsi" w:cstheme="minorHAnsi"/>
          <w:sz w:val="20"/>
          <w:szCs w:val="20"/>
        </w:rPr>
        <w:t>, 1(1), 87–93. doi: 10.1016/j.dadm.2014.11.007</w:t>
      </w:r>
    </w:p>
    <w:p w:rsidR="00D6363E" w:rsidRPr="0056738D" w:rsidRDefault="00E04D65" w:rsidP="00D6363E">
      <w:pPr>
        <w:pStyle w:val="StandardWeb"/>
        <w:spacing w:before="0" w:beforeAutospacing="0" w:after="0" w:afterAutospacing="0" w:line="276" w:lineRule="auto"/>
        <w:rPr>
          <w:rFonts w:asciiTheme="minorHAnsi" w:hAnsiTheme="minorHAnsi" w:cstheme="minorHAnsi"/>
          <w:sz w:val="20"/>
          <w:szCs w:val="20"/>
        </w:rPr>
      </w:pPr>
      <w:hyperlink r:id="rId10" w:history="1">
        <w:r w:rsidRPr="0056738D">
          <w:rPr>
            <w:rStyle w:val="Hyperlink"/>
            <w:rFonts w:asciiTheme="minorHAnsi" w:hAnsiTheme="minorHAnsi" w:cstheme="minorHAnsi"/>
            <w:sz w:val="20"/>
            <w:szCs w:val="20"/>
          </w:rPr>
          <w:t>https://alz-journals.onlinelibrary.wiley.com/doi/full/10.1016/j.dadm.2014.11.007</w:t>
        </w:r>
      </w:hyperlink>
    </w:p>
    <w:p w:rsidR="00E04D65" w:rsidRPr="0056738D" w:rsidRDefault="00E04D65" w:rsidP="00D6363E">
      <w:pPr>
        <w:pStyle w:val="StandardWeb"/>
        <w:spacing w:before="0" w:beforeAutospacing="0" w:after="0" w:afterAutospacing="0" w:line="276" w:lineRule="auto"/>
        <w:rPr>
          <w:rFonts w:asciiTheme="minorHAnsi" w:hAnsiTheme="minorHAnsi" w:cstheme="minorHAnsi"/>
          <w:sz w:val="20"/>
          <w:szCs w:val="20"/>
        </w:rPr>
      </w:pPr>
    </w:p>
    <w:p w:rsidR="006514A5" w:rsidRPr="0056738D" w:rsidRDefault="005715B8" w:rsidP="006514A5">
      <w:pPr>
        <w:pStyle w:val="StandardWeb"/>
        <w:spacing w:before="0" w:beforeAutospacing="0" w:after="0" w:afterAutospacing="0" w:line="276" w:lineRule="auto"/>
        <w:rPr>
          <w:rFonts w:asciiTheme="minorHAnsi" w:hAnsiTheme="minorHAnsi" w:cstheme="minorHAnsi"/>
          <w:sz w:val="20"/>
          <w:szCs w:val="20"/>
        </w:rPr>
      </w:pPr>
      <w:r w:rsidRPr="0056738D">
        <w:rPr>
          <w:rFonts w:asciiTheme="minorHAnsi" w:hAnsiTheme="minorHAnsi" w:cstheme="minorHAnsi"/>
          <w:sz w:val="20"/>
          <w:szCs w:val="20"/>
        </w:rPr>
        <w:lastRenderedPageBreak/>
        <w:t>Wolff, F., Dietzel, N., Karrer, L., Kratzer, A., Hess, M., Gräßel, E., &amp; Kolominsky-Rabas, P. (2020). Zeitgerechte Diagnosestellung bei Menschen mit Demenz: der Bayerische Demenz Survey (BayDem). </w:t>
      </w:r>
      <w:r w:rsidRPr="0056738D">
        <w:rPr>
          <w:rFonts w:asciiTheme="minorHAnsi" w:hAnsiTheme="minorHAnsi" w:cstheme="minorHAnsi"/>
          <w:i/>
          <w:iCs/>
          <w:sz w:val="20"/>
          <w:szCs w:val="20"/>
        </w:rPr>
        <w:t>Das Gesundheitswesen</w:t>
      </w:r>
      <w:r w:rsidRPr="0056738D">
        <w:rPr>
          <w:rFonts w:asciiTheme="minorHAnsi" w:hAnsiTheme="minorHAnsi" w:cstheme="minorHAnsi"/>
          <w:sz w:val="20"/>
          <w:szCs w:val="20"/>
        </w:rPr>
        <w:t>, </w:t>
      </w:r>
      <w:r w:rsidRPr="0056738D">
        <w:rPr>
          <w:rFonts w:asciiTheme="minorHAnsi" w:hAnsiTheme="minorHAnsi" w:cstheme="minorHAnsi"/>
          <w:i/>
          <w:iCs/>
          <w:sz w:val="20"/>
          <w:szCs w:val="20"/>
        </w:rPr>
        <w:t>82</w:t>
      </w:r>
      <w:r w:rsidRPr="0056738D">
        <w:rPr>
          <w:rFonts w:asciiTheme="minorHAnsi" w:hAnsiTheme="minorHAnsi" w:cstheme="minorHAnsi"/>
          <w:sz w:val="20"/>
          <w:szCs w:val="20"/>
        </w:rPr>
        <w:t>(01), 23-29.</w:t>
      </w:r>
    </w:p>
    <w:p w:rsidR="00E04D65" w:rsidRPr="0056738D" w:rsidRDefault="006514A5" w:rsidP="006514A5">
      <w:pPr>
        <w:pStyle w:val="StandardWeb"/>
        <w:spacing w:before="0" w:beforeAutospacing="0" w:after="0" w:afterAutospacing="0" w:line="276" w:lineRule="auto"/>
        <w:rPr>
          <w:rFonts w:asciiTheme="minorHAnsi" w:hAnsiTheme="minorHAnsi" w:cstheme="minorHAnsi"/>
          <w:sz w:val="20"/>
          <w:szCs w:val="20"/>
        </w:rPr>
      </w:pPr>
      <w:hyperlink r:id="rId11" w:history="1">
        <w:r w:rsidRPr="0056738D">
          <w:rPr>
            <w:rStyle w:val="Hyperlink"/>
            <w:rFonts w:asciiTheme="minorHAnsi" w:hAnsiTheme="minorHAnsi" w:cstheme="minorHAnsi"/>
            <w:sz w:val="20"/>
            <w:szCs w:val="20"/>
          </w:rPr>
          <w:t>https://www.thieme-connect.com/products/ejournals/html/10.1055/a-1031-9559</w:t>
        </w:r>
      </w:hyperlink>
    </w:p>
    <w:p w:rsidR="006514A5" w:rsidRPr="0056738D" w:rsidRDefault="006514A5" w:rsidP="006514A5">
      <w:pPr>
        <w:pStyle w:val="StandardWeb"/>
        <w:spacing w:before="0" w:beforeAutospacing="0" w:after="0" w:afterAutospacing="0" w:line="276" w:lineRule="auto"/>
        <w:rPr>
          <w:rFonts w:asciiTheme="minorHAnsi" w:hAnsiTheme="minorHAnsi" w:cstheme="minorHAnsi"/>
          <w:sz w:val="20"/>
          <w:szCs w:val="20"/>
        </w:rPr>
      </w:pPr>
    </w:p>
    <w:p w:rsidR="00456D3F" w:rsidRPr="0056738D" w:rsidRDefault="005715B8" w:rsidP="00456D3F">
      <w:pPr>
        <w:pStyle w:val="StandardWeb"/>
        <w:spacing w:before="0" w:beforeAutospacing="0" w:after="0" w:afterAutospacing="0" w:line="276" w:lineRule="auto"/>
        <w:rPr>
          <w:rFonts w:asciiTheme="minorHAnsi" w:hAnsiTheme="minorHAnsi" w:cstheme="minorHAnsi"/>
          <w:sz w:val="20"/>
          <w:szCs w:val="20"/>
        </w:rPr>
      </w:pPr>
      <w:r w:rsidRPr="0056738D">
        <w:rPr>
          <w:rFonts w:asciiTheme="minorHAnsi" w:hAnsiTheme="minorHAnsi" w:cstheme="minorHAnsi"/>
          <w:sz w:val="20"/>
          <w:szCs w:val="20"/>
        </w:rPr>
        <w:t>Jorm AF, Jacomb PA. The Informant Questionnaire on Cognitive Decline in the Elderly (IQCODE): socio-demographic correlates, reliability, validity and some norms. Psychol Med. 1989 Nov;19(4):1015-22. doi: 10.1017/s0033291700005742. PMID: 2594878. </w:t>
      </w:r>
    </w:p>
    <w:p w:rsidR="00456D3F" w:rsidRPr="0056738D" w:rsidRDefault="006514A5" w:rsidP="00456D3F">
      <w:pPr>
        <w:pStyle w:val="StandardWeb"/>
        <w:spacing w:before="0" w:beforeAutospacing="0" w:after="0" w:afterAutospacing="0" w:line="276" w:lineRule="auto"/>
        <w:rPr>
          <w:rFonts w:asciiTheme="minorHAnsi" w:hAnsiTheme="minorHAnsi" w:cstheme="minorHAnsi"/>
          <w:sz w:val="20"/>
          <w:szCs w:val="20"/>
        </w:rPr>
      </w:pPr>
      <w:hyperlink r:id="rId12" w:history="1">
        <w:r w:rsidRPr="0056738D">
          <w:rPr>
            <w:rStyle w:val="Hyperlink"/>
            <w:rFonts w:asciiTheme="minorHAnsi" w:hAnsiTheme="minorHAnsi" w:cstheme="minorHAnsi"/>
            <w:sz w:val="20"/>
            <w:szCs w:val="20"/>
          </w:rPr>
          <w:t>https://www.cambridge.org/core/journals/psychological-medicine/article/abs/informant-questionnaire-on-cognitive-decline-in-the-elderly-iqcode-sociodemographic-correlates-reliability-validity-and-some-norms/99206B4FCEC43A5DBF592D6DAF9A59A9</w:t>
        </w:r>
      </w:hyperlink>
    </w:p>
    <w:p w:rsidR="006514A5" w:rsidRPr="0056738D" w:rsidRDefault="006514A5" w:rsidP="00456D3F">
      <w:pPr>
        <w:pStyle w:val="StandardWeb"/>
        <w:spacing w:before="0" w:beforeAutospacing="0" w:after="0" w:afterAutospacing="0" w:line="276" w:lineRule="auto"/>
        <w:rPr>
          <w:rFonts w:asciiTheme="minorHAnsi" w:hAnsiTheme="minorHAnsi" w:cstheme="minorHAnsi"/>
          <w:sz w:val="20"/>
          <w:szCs w:val="20"/>
        </w:rPr>
      </w:pPr>
    </w:p>
    <w:p w:rsidR="006514A5" w:rsidRPr="0056738D" w:rsidRDefault="005715B8" w:rsidP="006514A5">
      <w:pPr>
        <w:pStyle w:val="StandardWeb"/>
        <w:spacing w:before="0" w:beforeAutospacing="0" w:after="0" w:afterAutospacing="0" w:line="276" w:lineRule="auto"/>
        <w:rPr>
          <w:rFonts w:asciiTheme="minorHAnsi" w:hAnsiTheme="minorHAnsi" w:cstheme="minorHAnsi"/>
          <w:sz w:val="20"/>
          <w:szCs w:val="20"/>
        </w:rPr>
      </w:pPr>
      <w:r w:rsidRPr="0056738D">
        <w:rPr>
          <w:rFonts w:asciiTheme="minorHAnsi" w:hAnsiTheme="minorHAnsi" w:cstheme="minorHAnsi"/>
          <w:sz w:val="20"/>
          <w:szCs w:val="20"/>
        </w:rPr>
        <w:t>Jorm AF. The Informant Questionnaire on cognitive decline in the elderly (IQCODE): a review. Int Psychogeriatr. 2004 Sep;16(3):275-93. doi: 10.1017/s1041610204000390. PMID: 15559753.</w:t>
      </w:r>
    </w:p>
    <w:p w:rsidR="006514A5" w:rsidRPr="006514A5" w:rsidRDefault="006514A5" w:rsidP="006514A5">
      <w:pPr>
        <w:pStyle w:val="StandardWeb"/>
        <w:spacing w:before="0" w:beforeAutospacing="0" w:after="0" w:afterAutospacing="0" w:line="276" w:lineRule="auto"/>
        <w:rPr>
          <w:rFonts w:asciiTheme="minorHAnsi" w:hAnsiTheme="minorHAnsi" w:cstheme="minorHAnsi"/>
          <w:sz w:val="20"/>
          <w:szCs w:val="20"/>
        </w:rPr>
      </w:pPr>
      <w:r w:rsidRPr="0056738D">
        <w:rPr>
          <w:rFonts w:asciiTheme="minorHAnsi" w:hAnsiTheme="minorHAnsi" w:cstheme="minorHAnsi"/>
          <w:sz w:val="20"/>
          <w:szCs w:val="20"/>
        </w:rPr>
        <w:t>https://www.cambridge.org/core/journals/international-psychogeriatrics/article/informant-questionnaire-on-cognitive-decline-in-the-elderly-iqcode-a-review/0E73F7C537ACADC69721EC195C5198EE</w:t>
      </w:r>
    </w:p>
    <w:p w:rsidR="00DF5670" w:rsidRDefault="00DF5670">
      <w:pPr>
        <w:spacing w:line="276" w:lineRule="auto"/>
        <w:rPr>
          <w:rFonts w:asciiTheme="minorHAnsi" w:hAnsiTheme="minorHAnsi" w:cstheme="minorHAnsi"/>
          <w:b/>
          <w:sz w:val="24"/>
        </w:rPr>
      </w:pPr>
    </w:p>
    <w:p w:rsidR="00D756B1" w:rsidRDefault="00D756B1">
      <w:pPr>
        <w:spacing w:line="276" w:lineRule="auto"/>
        <w:rPr>
          <w:rFonts w:asciiTheme="minorHAnsi" w:hAnsiTheme="minorHAnsi" w:cstheme="minorHAnsi"/>
          <w:b/>
          <w:sz w:val="24"/>
        </w:rPr>
      </w:pPr>
    </w:p>
    <w:p w:rsidR="00D756B1" w:rsidRDefault="00D756B1">
      <w:pPr>
        <w:spacing w:line="276" w:lineRule="auto"/>
        <w:rPr>
          <w:rFonts w:asciiTheme="minorHAnsi" w:hAnsiTheme="minorHAnsi" w:cstheme="minorHAnsi"/>
          <w:b/>
          <w:sz w:val="24"/>
        </w:rPr>
      </w:pPr>
    </w:p>
    <w:p w:rsidR="00DF5670" w:rsidRDefault="005715B8">
      <w:pPr>
        <w:spacing w:line="276" w:lineRule="auto"/>
        <w:rPr>
          <w:rFonts w:asciiTheme="minorHAnsi" w:hAnsiTheme="minorHAnsi" w:cstheme="minorHAnsi"/>
          <w:b/>
          <w:sz w:val="24"/>
        </w:rPr>
      </w:pPr>
      <w:r>
        <w:rPr>
          <w:rFonts w:asciiTheme="minorHAnsi" w:hAnsiTheme="minorHAnsi" w:cstheme="minorHAnsi"/>
          <w:b/>
          <w:sz w:val="24"/>
        </w:rPr>
        <w:t>Über digiDEM Bayern</w:t>
      </w:r>
    </w:p>
    <w:p w:rsidR="00DF5670" w:rsidRDefault="005715B8">
      <w:pPr>
        <w:spacing w:line="276" w:lineRule="auto"/>
        <w:rPr>
          <w:rFonts w:asciiTheme="minorHAnsi" w:hAnsiTheme="minorHAnsi" w:cstheme="minorHAnsi"/>
          <w:sz w:val="24"/>
        </w:rPr>
      </w:pPr>
      <w:r>
        <w:rPr>
          <w:rFonts w:asciiTheme="minorHAnsi" w:hAnsiTheme="minorHAnsi" w:cstheme="minorHAnsi"/>
          <w:color w:val="000000"/>
          <w:sz w:val="24"/>
        </w:rPr>
        <w:t xml:space="preserve">digiDEM Bayern baut ein digitales Demenzregister für Bayern auf, um den Langzeitverlauf der Erkrankung besser zu verstehen und die Versorgungssituation von Menschen mit Demenz und deren Angehörigen in ganz Bayern zu verbessern. Dafür werden Menschen mit leichten kognitiven Beeinträchtigungen oder Demenz und ihre pflegenden Angehörigen zu ihrer Situation systematisch befragt. </w:t>
      </w:r>
    </w:p>
    <w:p w:rsidR="00DF5670" w:rsidRDefault="005715B8">
      <w:pPr>
        <w:spacing w:line="276" w:lineRule="auto"/>
        <w:rPr>
          <w:rFonts w:asciiTheme="minorHAnsi" w:hAnsiTheme="minorHAnsi" w:cstheme="minorHAnsi"/>
          <w:sz w:val="24"/>
        </w:rPr>
      </w:pPr>
      <w:r>
        <w:rPr>
          <w:rFonts w:asciiTheme="minorHAnsi" w:hAnsiTheme="minorHAnsi" w:cstheme="minorHAnsi"/>
          <w:sz w:val="24"/>
        </w:rPr>
        <w:t> </w:t>
      </w:r>
    </w:p>
    <w:p w:rsidR="00DF5670" w:rsidRDefault="005715B8">
      <w:pPr>
        <w:spacing w:line="276" w:lineRule="auto"/>
        <w:rPr>
          <w:rFonts w:asciiTheme="minorHAnsi" w:hAnsiTheme="minorHAnsi" w:cstheme="minorHAnsi"/>
          <w:sz w:val="24"/>
        </w:rPr>
      </w:pPr>
      <w:r>
        <w:rPr>
          <w:rFonts w:asciiTheme="minorHAnsi" w:hAnsiTheme="minorHAnsi" w:cstheme="minorHAnsi"/>
          <w:color w:val="000000"/>
          <w:sz w:val="24"/>
        </w:rPr>
        <w:t>Darüber hinaus entwickelt digiDEM Bayern digitale Angebote für Menschen mit kognitiven Einschränkungen und Demenz sowie für pflegende Angehörige und ehrenamtliche Helfer*innen. So gibt es zum Beispiel die „Angehörigenampel“, einen kostenlosen, anonymen Selbsttest, der pflegenden Angehörigen mittels gezielter Fragen den Grad ihrer persönlichen Belastung anzeigt und ihnen damit einen Anstoß zur Veränderung der Lebenssituation gibt. Zu den weiteren digitalen Angeboten gehören unter anderem ein Hörtest, Live-Webinare inklusive Mediathek und der Science Watch-Newsletter.</w:t>
      </w:r>
    </w:p>
    <w:p w:rsidR="00DF5670" w:rsidRDefault="005715B8">
      <w:pPr>
        <w:spacing w:line="276" w:lineRule="auto"/>
        <w:rPr>
          <w:rFonts w:asciiTheme="minorHAnsi" w:hAnsiTheme="minorHAnsi" w:cstheme="minorHAnsi"/>
          <w:sz w:val="24"/>
        </w:rPr>
      </w:pPr>
      <w:r>
        <w:rPr>
          <w:rFonts w:asciiTheme="minorHAnsi" w:hAnsiTheme="minorHAnsi" w:cstheme="minorHAnsi"/>
          <w:sz w:val="24"/>
        </w:rPr>
        <w:t> </w:t>
      </w:r>
    </w:p>
    <w:p w:rsidR="00DF5670" w:rsidRDefault="005715B8" w:rsidP="00ED19B4">
      <w:pPr>
        <w:spacing w:line="276" w:lineRule="auto"/>
        <w:rPr>
          <w:rFonts w:asciiTheme="minorHAnsi" w:hAnsiTheme="minorHAnsi" w:cstheme="minorHAnsi"/>
          <w:color w:val="000000"/>
          <w:sz w:val="24"/>
        </w:rPr>
      </w:pPr>
      <w:r>
        <w:rPr>
          <w:rFonts w:asciiTheme="minorHAnsi" w:hAnsiTheme="minorHAnsi" w:cstheme="minorHAnsi"/>
          <w:color w:val="000000"/>
          <w:sz w:val="24"/>
        </w:rPr>
        <w:t>digiDEM Bayern ist ein interdisziplinäres Forschungsprojekt der Friedrich-Alexander-Universität Erlangen-Nürnberg, des Universitätsklinikums Erlangen und des Innovationsclusters Medical Valley Europäische Metropolregion Nürnberg. Gefördert wird das Projekt vom Bayerischen Staatsministerium für Gesundheit und Pflege (StMGP) im Rahmen des Masterplans „BAYERN DIGITAL II“.</w:t>
      </w:r>
    </w:p>
    <w:p w:rsidR="00ED19B4" w:rsidRDefault="00ED19B4" w:rsidP="00ED19B4">
      <w:pPr>
        <w:spacing w:line="276" w:lineRule="auto"/>
        <w:rPr>
          <w:rFonts w:asciiTheme="minorHAnsi" w:hAnsiTheme="minorHAnsi" w:cstheme="minorHAnsi"/>
          <w:color w:val="000000"/>
          <w:sz w:val="24"/>
        </w:rPr>
      </w:pPr>
    </w:p>
    <w:p w:rsidR="005F50F0" w:rsidRDefault="005F50F0" w:rsidP="00ED19B4">
      <w:pPr>
        <w:spacing w:line="276" w:lineRule="auto"/>
        <w:rPr>
          <w:rFonts w:asciiTheme="minorHAnsi" w:hAnsiTheme="minorHAnsi" w:cstheme="minorHAnsi"/>
          <w:color w:val="000000"/>
          <w:sz w:val="24"/>
        </w:rPr>
      </w:pPr>
    </w:p>
    <w:p w:rsidR="005F50F0" w:rsidRDefault="005F50F0" w:rsidP="00ED19B4">
      <w:pPr>
        <w:spacing w:line="276" w:lineRule="auto"/>
        <w:rPr>
          <w:rFonts w:asciiTheme="minorHAnsi" w:hAnsiTheme="minorHAnsi" w:cstheme="minorHAnsi"/>
          <w:color w:val="000000"/>
          <w:sz w:val="24"/>
        </w:rPr>
      </w:pPr>
    </w:p>
    <w:p w:rsidR="005F50F0" w:rsidRDefault="005F50F0" w:rsidP="00ED19B4">
      <w:pPr>
        <w:spacing w:line="276" w:lineRule="auto"/>
        <w:rPr>
          <w:rFonts w:asciiTheme="minorHAnsi" w:hAnsiTheme="minorHAnsi" w:cstheme="minorHAnsi"/>
          <w:color w:val="000000"/>
          <w:sz w:val="24"/>
        </w:rPr>
      </w:pPr>
    </w:p>
    <w:p w:rsidR="005F50F0" w:rsidRDefault="005F50F0" w:rsidP="00ED19B4">
      <w:pPr>
        <w:spacing w:line="276" w:lineRule="auto"/>
        <w:rPr>
          <w:rFonts w:asciiTheme="minorHAnsi" w:hAnsiTheme="minorHAnsi" w:cstheme="minorHAnsi"/>
          <w:color w:val="000000"/>
          <w:sz w:val="24"/>
        </w:rPr>
      </w:pPr>
    </w:p>
    <w:p w:rsidR="00D756B1" w:rsidRDefault="00D756B1">
      <w:pPr>
        <w:rPr>
          <w:rFonts w:asciiTheme="minorHAnsi" w:hAnsiTheme="minorHAnsi" w:cstheme="minorHAnsi"/>
          <w:color w:val="000000"/>
          <w:sz w:val="24"/>
        </w:rPr>
      </w:pPr>
    </w:p>
    <w:p w:rsidR="00DF5670" w:rsidRPr="00ED19B4" w:rsidRDefault="005715B8">
      <w:pPr>
        <w:rPr>
          <w:rFonts w:asciiTheme="minorHAnsi" w:hAnsiTheme="minorHAnsi" w:cstheme="minorHAnsi"/>
          <w:b/>
          <w:sz w:val="24"/>
        </w:rPr>
      </w:pPr>
      <w:bookmarkStart w:id="0" w:name="_GoBack"/>
      <w:bookmarkEnd w:id="0"/>
      <w:r w:rsidRPr="00ED19B4">
        <w:rPr>
          <w:rFonts w:asciiTheme="minorHAnsi" w:hAnsiTheme="minorHAnsi" w:cstheme="minorHAnsi"/>
          <w:b/>
          <w:sz w:val="24"/>
        </w:rPr>
        <w:lastRenderedPageBreak/>
        <w:t>Pressekontakt</w:t>
      </w:r>
    </w:p>
    <w:p w:rsidR="00ED19B4" w:rsidRPr="00ED19B4" w:rsidRDefault="00ED19B4">
      <w:pPr>
        <w:rPr>
          <w:rFonts w:asciiTheme="minorHAnsi" w:hAnsiTheme="minorHAnsi" w:cstheme="minorHAnsi"/>
          <w:b/>
          <w:sz w:val="24"/>
        </w:rPr>
      </w:pPr>
    </w:p>
    <w:p w:rsidR="00DF5670" w:rsidRPr="00ED19B4" w:rsidRDefault="005715B8">
      <w:pPr>
        <w:pStyle w:val="StandardWeb"/>
        <w:spacing w:before="0" w:beforeAutospacing="0" w:after="0" w:afterAutospacing="0" w:line="273" w:lineRule="auto"/>
        <w:jc w:val="both"/>
        <w:rPr>
          <w:rFonts w:asciiTheme="minorHAnsi" w:hAnsiTheme="minorHAnsi" w:cstheme="minorHAnsi"/>
        </w:rPr>
      </w:pPr>
      <w:r w:rsidRPr="00ED19B4">
        <w:rPr>
          <w:rFonts w:asciiTheme="minorHAnsi" w:hAnsiTheme="minorHAnsi" w:cstheme="minorHAnsi"/>
          <w:color w:val="000000"/>
        </w:rPr>
        <w:t>Ilona Hörath</w:t>
      </w:r>
    </w:p>
    <w:p w:rsidR="00DF5670" w:rsidRPr="00ED19B4" w:rsidRDefault="005715B8">
      <w:pPr>
        <w:pStyle w:val="StandardWeb"/>
        <w:spacing w:before="0" w:beforeAutospacing="0" w:after="0" w:afterAutospacing="0" w:line="273" w:lineRule="auto"/>
        <w:jc w:val="both"/>
        <w:rPr>
          <w:rFonts w:asciiTheme="minorHAnsi" w:hAnsiTheme="minorHAnsi" w:cstheme="minorHAnsi"/>
        </w:rPr>
      </w:pPr>
      <w:r w:rsidRPr="00ED19B4">
        <w:rPr>
          <w:rFonts w:asciiTheme="minorHAnsi" w:hAnsiTheme="minorHAnsi" w:cstheme="minorHAnsi"/>
          <w:color w:val="000000"/>
        </w:rPr>
        <w:t xml:space="preserve">Presse- und Öffentlichkeitsarbeit </w:t>
      </w:r>
    </w:p>
    <w:p w:rsidR="00DF5670" w:rsidRPr="00ED19B4" w:rsidRDefault="005715B8">
      <w:pPr>
        <w:pStyle w:val="StandardWeb"/>
        <w:spacing w:before="0" w:beforeAutospacing="0" w:after="0" w:afterAutospacing="0"/>
        <w:rPr>
          <w:rFonts w:asciiTheme="minorHAnsi" w:hAnsiTheme="minorHAnsi" w:cstheme="minorHAnsi"/>
        </w:rPr>
      </w:pPr>
      <w:r w:rsidRPr="00ED19B4">
        <w:rPr>
          <w:rFonts w:asciiTheme="minorHAnsi" w:hAnsiTheme="minorHAnsi" w:cstheme="minorHAnsi"/>
          <w:color w:val="000000"/>
        </w:rPr>
        <w:t>Tel:</w:t>
      </w:r>
      <w:r w:rsidRPr="00ED19B4">
        <w:rPr>
          <w:rFonts w:asciiTheme="minorHAnsi" w:hAnsiTheme="minorHAnsi" w:cstheme="minorHAnsi"/>
          <w:color w:val="000000"/>
        </w:rPr>
        <w:tab/>
      </w:r>
      <w:r w:rsidRPr="00ED19B4">
        <w:rPr>
          <w:rFonts w:asciiTheme="minorHAnsi" w:hAnsiTheme="minorHAnsi" w:cstheme="minorHAnsi"/>
          <w:color w:val="000000"/>
        </w:rPr>
        <w:tab/>
        <w:t>+49-9131-85-35858</w:t>
      </w:r>
    </w:p>
    <w:p w:rsidR="00DF5670" w:rsidRPr="00ED19B4" w:rsidRDefault="005715B8">
      <w:pPr>
        <w:pStyle w:val="StandardWeb"/>
        <w:spacing w:before="0" w:beforeAutospacing="0" w:after="0" w:afterAutospacing="0"/>
        <w:rPr>
          <w:rFonts w:asciiTheme="minorHAnsi" w:hAnsiTheme="minorHAnsi" w:cstheme="minorHAnsi"/>
        </w:rPr>
      </w:pPr>
      <w:r w:rsidRPr="00ED19B4">
        <w:rPr>
          <w:rFonts w:asciiTheme="minorHAnsi" w:hAnsiTheme="minorHAnsi" w:cstheme="minorHAnsi"/>
          <w:color w:val="000000"/>
        </w:rPr>
        <w:t>Mobil:</w:t>
      </w:r>
      <w:r w:rsidRPr="00ED19B4">
        <w:rPr>
          <w:rFonts w:asciiTheme="minorHAnsi" w:hAnsiTheme="minorHAnsi" w:cstheme="minorHAnsi"/>
          <w:color w:val="000000"/>
        </w:rPr>
        <w:tab/>
      </w:r>
      <w:r w:rsidRPr="00ED19B4">
        <w:rPr>
          <w:rFonts w:asciiTheme="minorHAnsi" w:hAnsiTheme="minorHAnsi" w:cstheme="minorHAnsi"/>
          <w:color w:val="000000"/>
        </w:rPr>
        <w:tab/>
        <w:t>+49 163-883 884 5</w:t>
      </w:r>
    </w:p>
    <w:p w:rsidR="00DF5670" w:rsidRDefault="005715B8">
      <w:pPr>
        <w:pStyle w:val="StandardWeb"/>
        <w:spacing w:before="0" w:beforeAutospacing="0" w:after="0" w:afterAutospacing="0"/>
        <w:rPr>
          <w:rStyle w:val="Hyperlink"/>
          <w:rFonts w:asciiTheme="minorHAnsi" w:eastAsia="Arial" w:hAnsiTheme="minorHAnsi" w:cstheme="minorHAnsi"/>
          <w:color w:val="000000"/>
        </w:rPr>
      </w:pPr>
      <w:r w:rsidRPr="00ED19B4">
        <w:rPr>
          <w:rFonts w:asciiTheme="minorHAnsi" w:hAnsiTheme="minorHAnsi" w:cstheme="minorHAnsi"/>
          <w:color w:val="000000"/>
        </w:rPr>
        <w:t>E-Mail:</w:t>
      </w:r>
      <w:r w:rsidRPr="00ED19B4">
        <w:rPr>
          <w:rFonts w:asciiTheme="minorHAnsi" w:hAnsiTheme="minorHAnsi" w:cstheme="minorHAnsi"/>
          <w:color w:val="000000"/>
        </w:rPr>
        <w:tab/>
      </w:r>
      <w:r w:rsidRPr="00ED19B4">
        <w:rPr>
          <w:rFonts w:asciiTheme="minorHAnsi" w:hAnsiTheme="minorHAnsi" w:cstheme="minorHAnsi"/>
          <w:color w:val="000000"/>
        </w:rPr>
        <w:tab/>
      </w:r>
      <w:hyperlink r:id="rId13" w:tooltip="mailto:ilona.hoerath@fau.de" w:history="1">
        <w:r w:rsidRPr="00ED19B4">
          <w:rPr>
            <w:rStyle w:val="Hyperlink"/>
            <w:rFonts w:asciiTheme="minorHAnsi" w:eastAsia="Arial" w:hAnsiTheme="minorHAnsi" w:cstheme="minorHAnsi"/>
            <w:color w:val="000000"/>
          </w:rPr>
          <w:t>ilona.hoerath@fau.de</w:t>
        </w:r>
      </w:hyperlink>
      <w:r w:rsidRPr="00ED19B4">
        <w:rPr>
          <w:rFonts w:asciiTheme="minorHAnsi" w:hAnsiTheme="minorHAnsi" w:cstheme="minorHAnsi"/>
          <w:color w:val="000000"/>
        </w:rPr>
        <w:br/>
        <w:t>Web:       </w:t>
      </w:r>
      <w:r w:rsidRPr="00ED19B4">
        <w:rPr>
          <w:rFonts w:asciiTheme="minorHAnsi" w:hAnsiTheme="minorHAnsi" w:cstheme="minorHAnsi"/>
          <w:color w:val="000000"/>
        </w:rPr>
        <w:tab/>
      </w:r>
      <w:hyperlink r:id="rId14" w:tooltip="http://www.digidem-bayern.de/" w:history="1">
        <w:r w:rsidRPr="00ED19B4">
          <w:rPr>
            <w:rStyle w:val="Hyperlink"/>
            <w:rFonts w:asciiTheme="minorHAnsi" w:eastAsia="Arial" w:hAnsiTheme="minorHAnsi" w:cstheme="minorHAnsi"/>
            <w:color w:val="000000"/>
          </w:rPr>
          <w:t>www.digidem-bayern.de</w:t>
        </w:r>
      </w:hyperlink>
    </w:p>
    <w:p w:rsidR="00ED19B4" w:rsidRPr="00ED19B4" w:rsidRDefault="00ED19B4">
      <w:pPr>
        <w:pStyle w:val="StandardWeb"/>
        <w:spacing w:before="0" w:beforeAutospacing="0" w:after="0" w:afterAutospacing="0"/>
        <w:rPr>
          <w:rStyle w:val="Hyperlink"/>
          <w:rFonts w:asciiTheme="minorHAnsi" w:eastAsia="Arial" w:hAnsiTheme="minorHAnsi" w:cstheme="minorHAnsi"/>
          <w:color w:val="000000"/>
        </w:rPr>
      </w:pPr>
    </w:p>
    <w:p w:rsidR="00787FD9" w:rsidRDefault="00787FD9">
      <w:pPr>
        <w:pStyle w:val="StandardWeb"/>
        <w:spacing w:before="0" w:beforeAutospacing="0" w:after="0" w:afterAutospacing="0"/>
        <w:rPr>
          <w:sz w:val="22"/>
          <w:szCs w:val="22"/>
        </w:rPr>
      </w:pPr>
    </w:p>
    <w:p w:rsidR="00DF5670" w:rsidRDefault="005715B8">
      <w:pPr>
        <w:pStyle w:val="StandardWeb"/>
        <w:spacing w:before="0" w:beforeAutospacing="0" w:after="0" w:afterAutospacing="0"/>
        <w:rPr>
          <w:sz w:val="22"/>
          <w:szCs w:val="22"/>
        </w:rPr>
      </w:pPr>
      <w:r>
        <w:rPr>
          <w:rFonts w:ascii="Calibri" w:hAnsi="Calibri" w:cs="Calibri"/>
          <w:b/>
          <w:bCs/>
          <w:color w:val="0099CC"/>
          <w:sz w:val="22"/>
          <w:szCs w:val="22"/>
        </w:rPr>
        <w:t>Digitales Demenzregister Bayern - digiDEM Bayern</w:t>
      </w:r>
    </w:p>
    <w:p w:rsidR="00DF5670" w:rsidRDefault="005715B8">
      <w:pPr>
        <w:pStyle w:val="StandardWeb"/>
        <w:spacing w:before="0" w:beforeAutospacing="0" w:after="0" w:afterAutospacing="0"/>
        <w:rPr>
          <w:sz w:val="22"/>
          <w:szCs w:val="22"/>
        </w:rPr>
      </w:pPr>
      <w:r>
        <w:rPr>
          <w:sz w:val="22"/>
          <w:szCs w:val="22"/>
        </w:rPr>
        <w:t> </w:t>
      </w:r>
    </w:p>
    <w:p w:rsidR="00DF5670" w:rsidRDefault="005715B8">
      <w:pPr>
        <w:pStyle w:val="StandardWeb"/>
        <w:spacing w:before="0" w:beforeAutospacing="0" w:after="0" w:afterAutospacing="0"/>
        <w:rPr>
          <w:sz w:val="22"/>
          <w:szCs w:val="22"/>
        </w:rPr>
      </w:pPr>
      <w:r>
        <w:rPr>
          <w:rFonts w:ascii="Calibri" w:hAnsi="Calibri" w:cs="Calibri"/>
          <w:color w:val="0099CC"/>
          <w:sz w:val="22"/>
          <w:szCs w:val="22"/>
        </w:rPr>
        <w:t>Interdisziplinäres Zentrum für Health Technology Asse</w:t>
      </w:r>
      <w:r w:rsidR="00ED19B4">
        <w:rPr>
          <w:rFonts w:ascii="Calibri" w:hAnsi="Calibri" w:cs="Calibri"/>
          <w:color w:val="0099CC"/>
          <w:sz w:val="22"/>
          <w:szCs w:val="22"/>
        </w:rPr>
        <w:t>ssment (HTA) und Public Health</w:t>
      </w:r>
      <w:r w:rsidR="00ED19B4">
        <w:rPr>
          <w:rFonts w:ascii="Calibri" w:hAnsi="Calibri" w:cs="Calibri"/>
          <w:color w:val="0099CC"/>
          <w:sz w:val="22"/>
          <w:szCs w:val="22"/>
        </w:rPr>
        <w:br/>
      </w:r>
      <w:r>
        <w:rPr>
          <w:rFonts w:ascii="Calibri" w:hAnsi="Calibri" w:cs="Calibri"/>
          <w:color w:val="0099CC"/>
          <w:sz w:val="22"/>
          <w:szCs w:val="22"/>
        </w:rPr>
        <w:t>Friedrich-Alexander-Univer</w:t>
      </w:r>
      <w:r w:rsidR="00ED19B4">
        <w:rPr>
          <w:rFonts w:ascii="Calibri" w:hAnsi="Calibri" w:cs="Calibri"/>
          <w:color w:val="0099CC"/>
          <w:sz w:val="22"/>
          <w:szCs w:val="22"/>
        </w:rPr>
        <w:t>sität Erlangen-Nürnberg (IZPH)</w:t>
      </w:r>
      <w:r w:rsidR="00ED19B4">
        <w:rPr>
          <w:rFonts w:ascii="Calibri" w:hAnsi="Calibri" w:cs="Calibri"/>
          <w:color w:val="0099CC"/>
          <w:sz w:val="22"/>
          <w:szCs w:val="22"/>
        </w:rPr>
        <w:br/>
      </w:r>
      <w:r>
        <w:rPr>
          <w:rFonts w:ascii="Calibri" w:hAnsi="Calibri" w:cs="Calibri"/>
          <w:color w:val="0099CC"/>
          <w:sz w:val="22"/>
          <w:szCs w:val="22"/>
        </w:rPr>
        <w:t>Nationales Spitzencluster ‚Exzellenzzentrum für Medizintechnik – Medical Valley EMN‘</w:t>
      </w:r>
    </w:p>
    <w:p w:rsidR="00ED19B4" w:rsidRDefault="00ED19B4">
      <w:pPr>
        <w:pStyle w:val="StandardWeb"/>
        <w:spacing w:before="0" w:beforeAutospacing="0" w:after="0" w:afterAutospacing="0"/>
        <w:rPr>
          <w:rFonts w:ascii="Calibri" w:hAnsi="Calibri" w:cs="Calibri"/>
          <w:color w:val="0099CC"/>
          <w:sz w:val="22"/>
          <w:szCs w:val="22"/>
        </w:rPr>
      </w:pPr>
      <w:r>
        <w:rPr>
          <w:rFonts w:ascii="Calibri" w:hAnsi="Calibri" w:cs="Calibri"/>
          <w:color w:val="0099CC"/>
          <w:sz w:val="22"/>
          <w:szCs w:val="22"/>
        </w:rPr>
        <w:t>Schwabachanlage 6</w:t>
      </w:r>
    </w:p>
    <w:p w:rsidR="00DF5670" w:rsidRDefault="005715B8">
      <w:pPr>
        <w:pStyle w:val="StandardWeb"/>
        <w:spacing w:before="0" w:beforeAutospacing="0" w:after="0" w:afterAutospacing="0"/>
        <w:rPr>
          <w:sz w:val="22"/>
          <w:szCs w:val="22"/>
        </w:rPr>
      </w:pPr>
      <w:r>
        <w:rPr>
          <w:rFonts w:ascii="Calibri" w:hAnsi="Calibri" w:cs="Calibri"/>
          <w:color w:val="0099CC"/>
          <w:sz w:val="22"/>
          <w:szCs w:val="22"/>
        </w:rPr>
        <w:t>91054 Erlangen</w:t>
      </w:r>
    </w:p>
    <w:p w:rsidR="00DF5670" w:rsidRDefault="00DF5670">
      <w:pPr>
        <w:spacing w:line="276" w:lineRule="auto"/>
        <w:jc w:val="both"/>
        <w:rPr>
          <w:rStyle w:val="Italic"/>
          <w:rFonts w:ascii="Calibri" w:eastAsia="Arial" w:hAnsi="Calibri" w:cs="Arial"/>
          <w:sz w:val="24"/>
          <w:u w:val="single"/>
        </w:rPr>
      </w:pPr>
    </w:p>
    <w:p w:rsidR="00DF5670" w:rsidRDefault="00DF5670">
      <w:pPr>
        <w:spacing w:line="276" w:lineRule="auto"/>
        <w:jc w:val="both"/>
        <w:rPr>
          <w:rStyle w:val="Italic"/>
          <w:rFonts w:ascii="Calibri" w:eastAsia="Arial" w:hAnsi="Calibri" w:cs="Arial"/>
          <w:sz w:val="24"/>
          <w:u w:val="single"/>
        </w:rPr>
      </w:pPr>
    </w:p>
    <w:p w:rsidR="00DF5670" w:rsidRDefault="00DF5670">
      <w:pPr>
        <w:spacing w:line="276" w:lineRule="auto"/>
        <w:jc w:val="both"/>
        <w:rPr>
          <w:rStyle w:val="Italic"/>
          <w:rFonts w:ascii="Calibri" w:eastAsia="Arial" w:hAnsi="Calibri" w:cs="Arial"/>
          <w:sz w:val="24"/>
          <w:u w:val="single"/>
        </w:rPr>
      </w:pPr>
    </w:p>
    <w:p w:rsidR="00DF5670" w:rsidRDefault="00DF5670">
      <w:pPr>
        <w:jc w:val="both"/>
        <w:rPr>
          <w:rFonts w:ascii="Calibri" w:eastAsia="Arial" w:hAnsi="Calibri" w:cs="Arial"/>
          <w:szCs w:val="20"/>
        </w:rPr>
      </w:pPr>
    </w:p>
    <w:sectPr w:rsidR="00DF5670">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70" w:rsidRDefault="005715B8">
      <w:pPr>
        <w:spacing w:line="240" w:lineRule="auto"/>
      </w:pPr>
      <w:r>
        <w:separator/>
      </w:r>
    </w:p>
  </w:endnote>
  <w:endnote w:type="continuationSeparator" w:id="0">
    <w:p w:rsidR="00DF5670" w:rsidRDefault="00571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norm">
    <w:altName w:val="72"/>
    <w:charset w:val="00"/>
    <w:family w:val="auto"/>
    <w:pitch w:val="default"/>
  </w:font>
  <w:font w:name="Arial">
    <w:panose1 w:val="020B0604020202020204"/>
    <w:charset w:val="00"/>
    <w:family w:val="swiss"/>
    <w:pitch w:val="variable"/>
    <w:sig w:usb0="E0002EFF" w:usb1="C000785B" w:usb2="00000009" w:usb3="00000000" w:csb0="000001FF" w:csb1="00000000"/>
  </w:font>
  <w:font w:name="metaot-normita">
    <w:altName w:val="72"/>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352282"/>
      <w:docPartObj>
        <w:docPartGallery w:val="Page Numbers (Bottom of Page)"/>
        <w:docPartUnique/>
      </w:docPartObj>
    </w:sdtPr>
    <w:sdtEndPr/>
    <w:sdtContent>
      <w:p w:rsidR="00DF5670" w:rsidRDefault="005715B8">
        <w:pPr>
          <w:pStyle w:val="Fuzeile"/>
          <w:jc w:val="center"/>
        </w:pPr>
        <w:r>
          <w:fldChar w:fldCharType="begin"/>
        </w:r>
        <w:r>
          <w:instrText>PAGE   \* MERGEFORMAT</w:instrText>
        </w:r>
        <w:r>
          <w:fldChar w:fldCharType="separate"/>
        </w:r>
        <w:r w:rsidR="00D756B1">
          <w:rPr>
            <w:noProof/>
          </w:rPr>
          <w:t>5</w:t>
        </w:r>
        <w:r>
          <w:fldChar w:fldCharType="end"/>
        </w:r>
      </w:p>
    </w:sdtContent>
  </w:sdt>
  <w:p w:rsidR="00DF5670" w:rsidRDefault="00DF5670">
    <w:pPr>
      <w:pStyle w:val="Fuzeile"/>
      <w:tabs>
        <w:tab w:val="left" w:pos="42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70" w:rsidRDefault="005715B8">
      <w:pPr>
        <w:spacing w:line="240" w:lineRule="auto"/>
      </w:pPr>
      <w:r>
        <w:separator/>
      </w:r>
    </w:p>
  </w:footnote>
  <w:footnote w:type="continuationSeparator" w:id="0">
    <w:p w:rsidR="00DF5670" w:rsidRDefault="00571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670" w:rsidRDefault="005715B8">
    <w:pPr>
      <w:pStyle w:val="Kopfzeile"/>
      <w:jc w:val="center"/>
    </w:pPr>
    <w:r>
      <w:rPr>
        <w:noProof/>
      </w:rPr>
      <mc:AlternateContent>
        <mc:Choice Requires="wpg">
          <w:drawing>
            <wp:anchor distT="0" distB="0" distL="114300" distR="114300" simplePos="0" relativeHeight="251663360" behindDoc="0" locked="0" layoutInCell="1" allowOverlap="1">
              <wp:simplePos x="0" y="0"/>
              <wp:positionH relativeFrom="margin">
                <wp:posOffset>4406895</wp:posOffset>
              </wp:positionH>
              <wp:positionV relativeFrom="paragraph">
                <wp:posOffset>-118739</wp:posOffset>
              </wp:positionV>
              <wp:extent cx="1577340" cy="907409"/>
              <wp:effectExtent l="0" t="0" r="3807" b="6984"/>
              <wp:wrapThrough wrapText="bothSides">
                <wp:wrapPolygon edited="1">
                  <wp:start x="0" y="0"/>
                  <wp:lineTo x="0" y="21312"/>
                  <wp:lineTo x="21380" y="21312"/>
                  <wp:lineTo x="2138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giDEM_Medic_DR_farbig.jpg"/>
                      <pic:cNvPicPr>
                        <a:picLocks noChangeAspect="1"/>
                      </pic:cNvPicPr>
                    </pic:nvPicPr>
                    <pic:blipFill>
                      <a:blip r:embed="rId1"/>
                      <a:stretch/>
                    </pic:blipFill>
                    <pic:spPr bwMode="auto">
                      <a:xfrm>
                        <a:off x="0" y="0"/>
                        <a:ext cx="1577340" cy="90741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3360;o:allowoverlap:true;o:allowincell:true;mso-position-horizontal-relative:margin;margin-left:347.0pt;mso-position-horizontal:absolute;mso-position-vertical-relative:text;margin-top:-9.3pt;mso-position-vertical:absolute;width:124.2pt;height:71.4pt;" wrapcoords="0 0 0 98667 98981 98667 98981 0 0 0" stroked="false">
              <v:path textboxrect="0,0,0,0"/>
              <v:imagedata r:id="rId2" o:title=""/>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398"/>
    <w:multiLevelType w:val="hybridMultilevel"/>
    <w:tmpl w:val="39A8377E"/>
    <w:lvl w:ilvl="0" w:tplc="4F7CE13C">
      <w:start w:val="1"/>
      <w:numFmt w:val="bullet"/>
      <w:lvlText w:val="-"/>
      <w:lvlJc w:val="left"/>
      <w:pPr>
        <w:ind w:left="720" w:hanging="354"/>
      </w:pPr>
      <w:rPr>
        <w:rFonts w:ascii="Calibri" w:eastAsia="Times New Roman" w:hAnsi="Calibri" w:cs="Calibri" w:hint="default"/>
      </w:rPr>
    </w:lvl>
    <w:lvl w:ilvl="1" w:tplc="4B021FC8">
      <w:start w:val="1"/>
      <w:numFmt w:val="bullet"/>
      <w:lvlText w:val="o"/>
      <w:lvlJc w:val="left"/>
      <w:pPr>
        <w:ind w:left="1440" w:hanging="354"/>
      </w:pPr>
      <w:rPr>
        <w:rFonts w:ascii="Courier New" w:hAnsi="Courier New" w:cs="Courier New" w:hint="default"/>
      </w:rPr>
    </w:lvl>
    <w:lvl w:ilvl="2" w:tplc="7FBCF6D4">
      <w:start w:val="1"/>
      <w:numFmt w:val="bullet"/>
      <w:lvlText w:val=""/>
      <w:lvlJc w:val="left"/>
      <w:pPr>
        <w:ind w:left="2160" w:hanging="354"/>
      </w:pPr>
      <w:rPr>
        <w:rFonts w:ascii="Wingdings" w:hAnsi="Wingdings" w:hint="default"/>
      </w:rPr>
    </w:lvl>
    <w:lvl w:ilvl="3" w:tplc="E960A8BC">
      <w:start w:val="1"/>
      <w:numFmt w:val="bullet"/>
      <w:lvlText w:val=""/>
      <w:lvlJc w:val="left"/>
      <w:pPr>
        <w:ind w:left="2880" w:hanging="354"/>
      </w:pPr>
      <w:rPr>
        <w:rFonts w:ascii="Symbol" w:hAnsi="Symbol" w:hint="default"/>
      </w:rPr>
    </w:lvl>
    <w:lvl w:ilvl="4" w:tplc="BD74B5C0">
      <w:start w:val="1"/>
      <w:numFmt w:val="bullet"/>
      <w:lvlText w:val="o"/>
      <w:lvlJc w:val="left"/>
      <w:pPr>
        <w:ind w:left="3600" w:hanging="354"/>
      </w:pPr>
      <w:rPr>
        <w:rFonts w:ascii="Courier New" w:hAnsi="Courier New" w:cs="Courier New" w:hint="default"/>
      </w:rPr>
    </w:lvl>
    <w:lvl w:ilvl="5" w:tplc="04A2328A">
      <w:start w:val="1"/>
      <w:numFmt w:val="bullet"/>
      <w:lvlText w:val=""/>
      <w:lvlJc w:val="left"/>
      <w:pPr>
        <w:ind w:left="4320" w:hanging="354"/>
      </w:pPr>
      <w:rPr>
        <w:rFonts w:ascii="Wingdings" w:hAnsi="Wingdings" w:hint="default"/>
      </w:rPr>
    </w:lvl>
    <w:lvl w:ilvl="6" w:tplc="302EB0AC">
      <w:start w:val="1"/>
      <w:numFmt w:val="bullet"/>
      <w:lvlText w:val=""/>
      <w:lvlJc w:val="left"/>
      <w:pPr>
        <w:ind w:left="5040" w:hanging="354"/>
      </w:pPr>
      <w:rPr>
        <w:rFonts w:ascii="Symbol" w:hAnsi="Symbol" w:hint="default"/>
      </w:rPr>
    </w:lvl>
    <w:lvl w:ilvl="7" w:tplc="31BC6008">
      <w:start w:val="1"/>
      <w:numFmt w:val="bullet"/>
      <w:lvlText w:val="o"/>
      <w:lvlJc w:val="left"/>
      <w:pPr>
        <w:ind w:left="5760" w:hanging="354"/>
      </w:pPr>
      <w:rPr>
        <w:rFonts w:ascii="Courier New" w:hAnsi="Courier New" w:cs="Courier New" w:hint="default"/>
      </w:rPr>
    </w:lvl>
    <w:lvl w:ilvl="8" w:tplc="9E1AC4E0">
      <w:start w:val="1"/>
      <w:numFmt w:val="bullet"/>
      <w:lvlText w:val=""/>
      <w:lvlJc w:val="left"/>
      <w:pPr>
        <w:ind w:left="6480" w:hanging="354"/>
      </w:pPr>
      <w:rPr>
        <w:rFonts w:ascii="Wingdings" w:hAnsi="Wingdings" w:hint="default"/>
      </w:rPr>
    </w:lvl>
  </w:abstractNum>
  <w:abstractNum w:abstractNumId="1" w15:restartNumberingAfterBreak="0">
    <w:nsid w:val="05C75DE6"/>
    <w:multiLevelType w:val="hybridMultilevel"/>
    <w:tmpl w:val="3600FDF2"/>
    <w:lvl w:ilvl="0" w:tplc="AF3AF456">
      <w:start w:val="1"/>
      <w:numFmt w:val="bullet"/>
      <w:lvlText w:val="-"/>
      <w:lvlJc w:val="left"/>
      <w:pPr>
        <w:ind w:left="720" w:hanging="354"/>
      </w:pPr>
      <w:rPr>
        <w:rFonts w:ascii="Calibri" w:eastAsia="Times New Roman" w:hAnsi="Calibri" w:cs="Calibri" w:hint="default"/>
      </w:rPr>
    </w:lvl>
    <w:lvl w:ilvl="1" w:tplc="0C6A8398">
      <w:start w:val="1"/>
      <w:numFmt w:val="bullet"/>
      <w:lvlText w:val="o"/>
      <w:lvlJc w:val="left"/>
      <w:pPr>
        <w:ind w:left="1440" w:hanging="354"/>
      </w:pPr>
      <w:rPr>
        <w:rFonts w:ascii="Courier New" w:hAnsi="Courier New" w:cs="Courier New" w:hint="default"/>
      </w:rPr>
    </w:lvl>
    <w:lvl w:ilvl="2" w:tplc="D5B051D0">
      <w:start w:val="1"/>
      <w:numFmt w:val="bullet"/>
      <w:lvlText w:val=""/>
      <w:lvlJc w:val="left"/>
      <w:pPr>
        <w:ind w:left="2160" w:hanging="354"/>
      </w:pPr>
      <w:rPr>
        <w:rFonts w:ascii="Wingdings" w:hAnsi="Wingdings" w:hint="default"/>
      </w:rPr>
    </w:lvl>
    <w:lvl w:ilvl="3" w:tplc="31DC116E">
      <w:start w:val="1"/>
      <w:numFmt w:val="bullet"/>
      <w:lvlText w:val=""/>
      <w:lvlJc w:val="left"/>
      <w:pPr>
        <w:ind w:left="2880" w:hanging="354"/>
      </w:pPr>
      <w:rPr>
        <w:rFonts w:ascii="Symbol" w:hAnsi="Symbol" w:hint="default"/>
      </w:rPr>
    </w:lvl>
    <w:lvl w:ilvl="4" w:tplc="23D27B5E">
      <w:start w:val="1"/>
      <w:numFmt w:val="bullet"/>
      <w:lvlText w:val="o"/>
      <w:lvlJc w:val="left"/>
      <w:pPr>
        <w:ind w:left="3600" w:hanging="354"/>
      </w:pPr>
      <w:rPr>
        <w:rFonts w:ascii="Courier New" w:hAnsi="Courier New" w:cs="Courier New" w:hint="default"/>
      </w:rPr>
    </w:lvl>
    <w:lvl w:ilvl="5" w:tplc="52388F24">
      <w:start w:val="1"/>
      <w:numFmt w:val="bullet"/>
      <w:lvlText w:val=""/>
      <w:lvlJc w:val="left"/>
      <w:pPr>
        <w:ind w:left="4320" w:hanging="354"/>
      </w:pPr>
      <w:rPr>
        <w:rFonts w:ascii="Wingdings" w:hAnsi="Wingdings" w:hint="default"/>
      </w:rPr>
    </w:lvl>
    <w:lvl w:ilvl="6" w:tplc="E44A6CA6">
      <w:start w:val="1"/>
      <w:numFmt w:val="bullet"/>
      <w:lvlText w:val=""/>
      <w:lvlJc w:val="left"/>
      <w:pPr>
        <w:ind w:left="5040" w:hanging="354"/>
      </w:pPr>
      <w:rPr>
        <w:rFonts w:ascii="Symbol" w:hAnsi="Symbol" w:hint="default"/>
      </w:rPr>
    </w:lvl>
    <w:lvl w:ilvl="7" w:tplc="9E606000">
      <w:start w:val="1"/>
      <w:numFmt w:val="bullet"/>
      <w:lvlText w:val="o"/>
      <w:lvlJc w:val="left"/>
      <w:pPr>
        <w:ind w:left="5760" w:hanging="354"/>
      </w:pPr>
      <w:rPr>
        <w:rFonts w:ascii="Courier New" w:hAnsi="Courier New" w:cs="Courier New" w:hint="default"/>
      </w:rPr>
    </w:lvl>
    <w:lvl w:ilvl="8" w:tplc="7DCC9294">
      <w:start w:val="1"/>
      <w:numFmt w:val="bullet"/>
      <w:lvlText w:val=""/>
      <w:lvlJc w:val="left"/>
      <w:pPr>
        <w:ind w:left="6480" w:hanging="354"/>
      </w:pPr>
      <w:rPr>
        <w:rFonts w:ascii="Wingdings" w:hAnsi="Wingdings" w:hint="default"/>
      </w:rPr>
    </w:lvl>
  </w:abstractNum>
  <w:abstractNum w:abstractNumId="2" w15:restartNumberingAfterBreak="0">
    <w:nsid w:val="3E435E7D"/>
    <w:multiLevelType w:val="hybridMultilevel"/>
    <w:tmpl w:val="54D855F6"/>
    <w:lvl w:ilvl="0" w:tplc="31866D8E">
      <w:start w:val="1"/>
      <w:numFmt w:val="bullet"/>
      <w:lvlText w:val=""/>
      <w:lvlJc w:val="left"/>
      <w:pPr>
        <w:ind w:left="720" w:hanging="354"/>
      </w:pPr>
      <w:rPr>
        <w:rFonts w:ascii="Symbol" w:hAnsi="Symbol" w:hint="default"/>
      </w:rPr>
    </w:lvl>
    <w:lvl w:ilvl="1" w:tplc="82766A98">
      <w:start w:val="1"/>
      <w:numFmt w:val="bullet"/>
      <w:lvlText w:val="o"/>
      <w:lvlJc w:val="left"/>
      <w:pPr>
        <w:ind w:left="1440" w:hanging="354"/>
      </w:pPr>
      <w:rPr>
        <w:rFonts w:ascii="Courier New" w:hAnsi="Courier New" w:cs="Courier New" w:hint="default"/>
      </w:rPr>
    </w:lvl>
    <w:lvl w:ilvl="2" w:tplc="C6C0663A">
      <w:start w:val="1"/>
      <w:numFmt w:val="bullet"/>
      <w:lvlText w:val=""/>
      <w:lvlJc w:val="left"/>
      <w:pPr>
        <w:ind w:left="2160" w:hanging="354"/>
      </w:pPr>
      <w:rPr>
        <w:rFonts w:ascii="Wingdings" w:hAnsi="Wingdings" w:hint="default"/>
      </w:rPr>
    </w:lvl>
    <w:lvl w:ilvl="3" w:tplc="3B583046">
      <w:start w:val="1"/>
      <w:numFmt w:val="bullet"/>
      <w:lvlText w:val=""/>
      <w:lvlJc w:val="left"/>
      <w:pPr>
        <w:ind w:left="2880" w:hanging="354"/>
      </w:pPr>
      <w:rPr>
        <w:rFonts w:ascii="Symbol" w:hAnsi="Symbol" w:hint="default"/>
      </w:rPr>
    </w:lvl>
    <w:lvl w:ilvl="4" w:tplc="3A4258BE">
      <w:start w:val="1"/>
      <w:numFmt w:val="bullet"/>
      <w:lvlText w:val="o"/>
      <w:lvlJc w:val="left"/>
      <w:pPr>
        <w:ind w:left="3600" w:hanging="354"/>
      </w:pPr>
      <w:rPr>
        <w:rFonts w:ascii="Courier New" w:hAnsi="Courier New" w:cs="Courier New" w:hint="default"/>
      </w:rPr>
    </w:lvl>
    <w:lvl w:ilvl="5" w:tplc="F8A468FE">
      <w:start w:val="1"/>
      <w:numFmt w:val="bullet"/>
      <w:lvlText w:val=""/>
      <w:lvlJc w:val="left"/>
      <w:pPr>
        <w:ind w:left="4320" w:hanging="354"/>
      </w:pPr>
      <w:rPr>
        <w:rFonts w:ascii="Wingdings" w:hAnsi="Wingdings" w:hint="default"/>
      </w:rPr>
    </w:lvl>
    <w:lvl w:ilvl="6" w:tplc="40EAAC7E">
      <w:start w:val="1"/>
      <w:numFmt w:val="bullet"/>
      <w:lvlText w:val=""/>
      <w:lvlJc w:val="left"/>
      <w:pPr>
        <w:ind w:left="5040" w:hanging="354"/>
      </w:pPr>
      <w:rPr>
        <w:rFonts w:ascii="Symbol" w:hAnsi="Symbol" w:hint="default"/>
      </w:rPr>
    </w:lvl>
    <w:lvl w:ilvl="7" w:tplc="E50C9536">
      <w:start w:val="1"/>
      <w:numFmt w:val="bullet"/>
      <w:lvlText w:val="o"/>
      <w:lvlJc w:val="left"/>
      <w:pPr>
        <w:ind w:left="5760" w:hanging="354"/>
      </w:pPr>
      <w:rPr>
        <w:rFonts w:ascii="Courier New" w:hAnsi="Courier New" w:cs="Courier New" w:hint="default"/>
      </w:rPr>
    </w:lvl>
    <w:lvl w:ilvl="8" w:tplc="ADD0BA70">
      <w:start w:val="1"/>
      <w:numFmt w:val="bullet"/>
      <w:lvlText w:val=""/>
      <w:lvlJc w:val="left"/>
      <w:pPr>
        <w:ind w:left="6480" w:hanging="354"/>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70"/>
    <w:rsid w:val="002C1ECE"/>
    <w:rsid w:val="00456D3F"/>
    <w:rsid w:val="004B6F16"/>
    <w:rsid w:val="0052741A"/>
    <w:rsid w:val="0056738D"/>
    <w:rsid w:val="005715B8"/>
    <w:rsid w:val="005F50F0"/>
    <w:rsid w:val="006514A5"/>
    <w:rsid w:val="00787FD9"/>
    <w:rsid w:val="00917308"/>
    <w:rsid w:val="00AD5A2A"/>
    <w:rsid w:val="00B50968"/>
    <w:rsid w:val="00C273E1"/>
    <w:rsid w:val="00D6363E"/>
    <w:rsid w:val="00D756B1"/>
    <w:rsid w:val="00DC1976"/>
    <w:rsid w:val="00DC302F"/>
    <w:rsid w:val="00DF5670"/>
    <w:rsid w:val="00E02222"/>
    <w:rsid w:val="00E04D65"/>
    <w:rsid w:val="00ED19B4"/>
    <w:rsid w:val="00EE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BEB2"/>
  <w15:docId w15:val="{2F4F8FBE-77ED-46E9-AE6F-0FB0A8CD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exact"/>
    </w:pPr>
    <w:rPr>
      <w:rFonts w:ascii="metaot-norm" w:eastAsia="Times New Roman" w:hAnsi="metaot-norm" w:cs="Times New Roman"/>
      <w:sz w:val="20"/>
      <w:szCs w:val="24"/>
      <w:lang w:eastAsia="de-DE"/>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ndnoteTextChar">
    <w:name w:val="Endnote Text Char"/>
    <w:uiPriority w:val="99"/>
    <w:rPr>
      <w:sz w:val="20"/>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paragraph" w:styleId="Endnotentext">
    <w:name w:val="endnote text"/>
    <w:basedOn w:val="Standard"/>
    <w:link w:val="EndnotentextZchn"/>
    <w:uiPriority w:val="99"/>
    <w:semiHidden/>
    <w:unhideWhenUsed/>
    <w:pPr>
      <w:spacing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Italic">
    <w:name w:val="_Italic"/>
    <w:basedOn w:val="Absatz-Standardschriftart"/>
    <w:uiPriority w:val="1"/>
    <w:qFormat/>
    <w:rPr>
      <w:rFonts w:ascii="metaot-normita" w:hAnsi="metaot-normita"/>
    </w:rPr>
  </w:style>
  <w:style w:type="paragraph" w:customStyle="1" w:styleId="Headline">
    <w:name w:val="_Headline"/>
    <w:basedOn w:val="Standard"/>
    <w:qFormat/>
    <w:pPr>
      <w:spacing w:line="340" w:lineRule="exact"/>
    </w:pPr>
    <w:rPr>
      <w:rFonts w:ascii="metaot-normita" w:hAnsi="metaot-normita"/>
      <w:sz w:val="26"/>
      <w:szCs w:val="26"/>
    </w:rPr>
  </w:style>
  <w:style w:type="character" w:styleId="Hyperlink">
    <w:name w:val="Hyperlink"/>
    <w:basedOn w:val="Absatz-Standardschriftart"/>
    <w:uiPriority w:val="99"/>
    <w:rPr>
      <w:color w:val="auto"/>
      <w:u w:val="non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metaot-norm" w:eastAsia="Times New Roman" w:hAnsi="metaot-norm" w:cs="Times New Roman"/>
      <w:sz w:val="20"/>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metaot-norm" w:eastAsia="Times New Roman" w:hAnsi="metaot-norm" w:cs="Times New Roman"/>
      <w:sz w:val="20"/>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metaot-norm" w:eastAsia="Times New Roman" w:hAnsi="metaot-norm"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metaot-norm" w:eastAsia="Times New Roman" w:hAnsi="metaot-norm"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sz w:val="18"/>
      <w:szCs w:val="18"/>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hAnsi="Times New Roman"/>
      <w:sz w:val="24"/>
    </w:rPr>
  </w:style>
  <w:style w:type="character" w:styleId="Hervorhebung">
    <w:name w:val="Emphasis"/>
    <w:basedOn w:val="Absatz-Standardschriftart"/>
    <w:uiPriority w:val="20"/>
    <w:qFormat/>
    <w:rPr>
      <w:i/>
      <w:iCs/>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Pr>
      <w:b/>
      <w:bCs/>
    </w:rPr>
  </w:style>
  <w:style w:type="character" w:customStyle="1" w:styleId="docdata">
    <w:name w:val="docdata"/>
    <w:basedOn w:val="Absatz-Standardschriftart"/>
  </w:style>
  <w:style w:type="paragraph" w:customStyle="1" w:styleId="2588">
    <w:name w:val="2588"/>
    <w:basedOn w:val="Standard"/>
    <w:pPr>
      <w:spacing w:before="100" w:beforeAutospacing="1" w:after="100" w:afterAutospacing="1" w:line="240" w:lineRule="auto"/>
    </w:pPr>
    <w:rPr>
      <w:rFonts w:ascii="Times New Roman" w:hAnsi="Times New Roman"/>
      <w:sz w:val="24"/>
    </w:rPr>
  </w:style>
  <w:style w:type="paragraph" w:customStyle="1" w:styleId="22702">
    <w:name w:val="22702"/>
    <w:basedOn w:val="Standard"/>
    <w:pPr>
      <w:spacing w:before="100" w:beforeAutospacing="1" w:after="100" w:afterAutospacing="1" w:line="240" w:lineRule="auto"/>
    </w:pPr>
    <w:rPr>
      <w:rFonts w:ascii="Times New Roman" w:hAnsi="Times New Roman"/>
      <w:sz w:val="24"/>
    </w:rPr>
  </w:style>
  <w:style w:type="character" w:customStyle="1" w:styleId="apple-converted-space">
    <w:name w:val="apple-converted-space"/>
    <w:basedOn w:val="Absatz-Standardschriftart"/>
  </w:style>
  <w:style w:type="paragraph" w:customStyle="1" w:styleId="docy">
    <w:name w:val="docy"/>
    <w:aliases w:val="v5,5313,bqiaagaaeyqcaaagiaiaaam9eqaabusraaaaaaaaaaaaaaaaaaaaaaaaaaaaaaaaaaaaaaaaaaaaaaaaaaaaaaaaaaaaaaaaaaaaaaaaaaaaaaaaaaaaaaaaaaaaaaaaaaaaaaaaaaaaaaaaaaaaaaaaaaaaaaaaaaaaaaaaaaaaaaaaaaaaaaaaaaaaaaaaaaaaaaaaaaaaaaaaaaaaaaaaaaaaaaaaaaaaaaaa"/>
    <w:basedOn w:val="Standard"/>
    <w:rsid w:val="00B50968"/>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2078711816714088715" TargetMode="External"/><Relationship Id="rId13" Type="http://schemas.openxmlformats.org/officeDocument/2006/relationships/hyperlink" Target="mailto:ilona.hoerath@fau.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dem-bayern.de/digitales-angebot-fremdbeurteilung-der-gedaechtnisleistung/" TargetMode="External"/><Relationship Id="rId12" Type="http://schemas.openxmlformats.org/officeDocument/2006/relationships/hyperlink" Target="https://www.cambridge.org/core/journals/psychological-medicine/article/abs/informant-questionnaire-on-cognitive-decline-in-the-elderly-iqcode-sociodemographic-correlates-reliability-validity-and-some-norms/99206B4FCEC43A5DBF592D6DAF9A59A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ieme-connect.com/products/ejournals/html/10.1055/a-1031-95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lz-journals.onlinelibrary.wiley.com/doi/full/10.1016/j.dadm.2014.11.007" TargetMode="External"/><Relationship Id="rId4" Type="http://schemas.openxmlformats.org/officeDocument/2006/relationships/webSettings" Target="webSettings.xml"/><Relationship Id="rId9" Type="http://schemas.openxmlformats.org/officeDocument/2006/relationships/hyperlink" Target="https://www.cambridge.org/core/journals/international-psychogeriatrics/article/screening-properties-of-the-german-iqcode-with-a-twoyear-time-frame-in-mci-and-early-alzheimers-disease/B5AEDD9A42D1BD63926C97C8078DA8D8" TargetMode="External"/><Relationship Id="rId14" Type="http://schemas.openxmlformats.org/officeDocument/2006/relationships/hyperlink" Target="http://www.digidem-bayer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1536</Words>
  <Characters>9677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Hörath, Ilona (extern)</dc:creator>
  <cp:lastModifiedBy>Hörath, Ilona (extern)</cp:lastModifiedBy>
  <cp:revision>10</cp:revision>
  <dcterms:created xsi:type="dcterms:W3CDTF">2022-03-31T09:35:00Z</dcterms:created>
  <dcterms:modified xsi:type="dcterms:W3CDTF">2022-03-31T09:51:00Z</dcterms:modified>
</cp:coreProperties>
</file>