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85B1" w14:textId="77777777" w:rsidR="0077002F" w:rsidRDefault="00D9281F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C536FD">
        <w:rPr>
          <w:rFonts w:ascii="Arial" w:hAnsi="Arial" w:cs="Arial"/>
          <w:b/>
          <w:sz w:val="32"/>
          <w:szCs w:val="32"/>
        </w:rPr>
        <w:t>Über digiDEM Bayern</w:t>
      </w:r>
    </w:p>
    <w:p w14:paraId="31A52D7A" w14:textId="77777777" w:rsidR="00D3282F" w:rsidRDefault="00D3282F" w:rsidP="00D3282F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5A3E0F53" w14:textId="3E6BD621" w:rsidR="00D3282F" w:rsidRPr="00D3282F" w:rsidRDefault="00D3282F" w:rsidP="00D3282F">
      <w:pPr>
        <w:spacing w:line="240" w:lineRule="auto"/>
        <w:jc w:val="both"/>
        <w:rPr>
          <w:rFonts w:ascii="Arial" w:hAnsi="Arial" w:cs="Arial"/>
          <w:bCs/>
          <w:szCs w:val="20"/>
        </w:rPr>
      </w:pPr>
      <w:r w:rsidRPr="00D3282F">
        <w:rPr>
          <w:rFonts w:ascii="Arial" w:hAnsi="Arial" w:cs="Arial"/>
          <w:bCs/>
          <w:szCs w:val="20"/>
        </w:rPr>
        <w:t>(2.</w:t>
      </w:r>
      <w:r w:rsidR="0070771D">
        <w:rPr>
          <w:rFonts w:ascii="Arial" w:hAnsi="Arial" w:cs="Arial"/>
          <w:bCs/>
          <w:szCs w:val="20"/>
        </w:rPr>
        <w:t>6</w:t>
      </w:r>
      <w:r w:rsidR="00686BEF">
        <w:rPr>
          <w:rFonts w:ascii="Arial" w:hAnsi="Arial" w:cs="Arial"/>
          <w:bCs/>
          <w:szCs w:val="20"/>
        </w:rPr>
        <w:t>39</w:t>
      </w:r>
      <w:r w:rsidRPr="00D3282F">
        <w:rPr>
          <w:rFonts w:ascii="Arial" w:hAnsi="Arial" w:cs="Arial"/>
          <w:bCs/>
          <w:szCs w:val="20"/>
        </w:rPr>
        <w:t xml:space="preserve"> Zeichen mit Leerzeichen)</w:t>
      </w:r>
    </w:p>
    <w:p w14:paraId="4DCD9C3C" w14:textId="77777777" w:rsidR="0077002F" w:rsidRDefault="0077002F">
      <w:pPr>
        <w:spacing w:line="240" w:lineRule="auto"/>
        <w:jc w:val="both"/>
        <w:rPr>
          <w:rFonts w:ascii="Calibri" w:hAnsi="Calibri" w:cs="Calibri"/>
        </w:rPr>
      </w:pPr>
    </w:p>
    <w:p w14:paraId="08DED3A0" w14:textId="77777777" w:rsidR="00177F63" w:rsidRDefault="00177F63">
      <w:pPr>
        <w:spacing w:line="240" w:lineRule="auto"/>
        <w:jc w:val="both"/>
        <w:rPr>
          <w:rFonts w:ascii="Calibri" w:hAnsi="Calibri" w:cs="Calibri"/>
        </w:rPr>
      </w:pPr>
    </w:p>
    <w:p w14:paraId="4CBF9BF7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digiDEM Bayern baut ein digitales Demenzregister für Bayern auf, um den Langzeitverlauf der Erkrankung besser zu verstehen und die Versorgungssituation von Menschen mit Demenz und deren An- und Zugehörigen in ganz Bayern zu verbessern. Dafür werden Menschen mit leichten kognitiven Beeinträchtigungen oder Demenz und ihre pflegenden An- und Zugehörigen zu ihrer Situation systematisch befragt. </w:t>
      </w:r>
    </w:p>
    <w:p w14:paraId="6DCF3688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6BFD83" w14:textId="6A708E03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Mit </w:t>
      </w:r>
      <w:r w:rsidR="002B2342" w:rsidRPr="00686BEF">
        <w:rPr>
          <w:rFonts w:ascii="Arial" w:hAnsi="Arial" w:cs="Arial"/>
          <w:color w:val="000000" w:themeColor="text1"/>
          <w:sz w:val="22"/>
          <w:szCs w:val="22"/>
        </w:rPr>
        <w:t>2.6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>00 Teilnehmenden aus ganz Bayern hat das Digitale Demenzregister Bayern (digiDEM Bayern) mittlerweile einen Rekordstand erreicht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 xml:space="preserve"> (Stand: </w:t>
      </w:r>
      <w:r w:rsidR="002B2342" w:rsidRPr="00686BEF">
        <w:rPr>
          <w:rFonts w:ascii="Arial" w:hAnsi="Arial" w:cs="Arial"/>
          <w:color w:val="000000" w:themeColor="text1"/>
          <w:sz w:val="22"/>
          <w:szCs w:val="22"/>
        </w:rPr>
        <w:t>April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 xml:space="preserve"> 2025)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. Damit ist digiDEM Bayern das größte Demenzregister in Deutschland und gehört im Bereich Demenzforschung zu einem der umfangreichsten Projekte zur Erfassung von Langzeitdaten in der Europäischen Union (EU). </w:t>
      </w:r>
    </w:p>
    <w:p w14:paraId="66E9590A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09B54B" w14:textId="5AEE5663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>Im Bereich Demenzfrüherkennung führt digiDEM Bayern bayernweit Demenz-Screeningtage durch. Bei den regionalen Demenz-</w:t>
      </w:r>
      <w:proofErr w:type="spellStart"/>
      <w:r w:rsidRPr="00686BEF">
        <w:rPr>
          <w:rFonts w:ascii="Arial" w:hAnsi="Arial" w:cs="Arial"/>
          <w:color w:val="000000" w:themeColor="text1"/>
          <w:sz w:val="22"/>
          <w:szCs w:val="22"/>
        </w:rPr>
        <w:t>Screeningtagen</w:t>
      </w:r>
      <w:proofErr w:type="spellEnd"/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 können Interessierte direkt vor Ort ihre Gedächtnisleistung überprüfen lassen – kostenfrei und mit Hilfe eines wissenschaftlichen Kurztests.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 xml:space="preserve"> Seit </w:t>
      </w:r>
      <w:r w:rsidR="002B2342" w:rsidRPr="00686BEF">
        <w:rPr>
          <w:rFonts w:ascii="Arial" w:hAnsi="Arial" w:cs="Arial"/>
          <w:color w:val="000000" w:themeColor="text1"/>
          <w:sz w:val="22"/>
          <w:szCs w:val="22"/>
        </w:rPr>
        <w:t>Sommer 2022 haben an mehr als 12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 xml:space="preserve">0 Testtagen bayernweit </w:t>
      </w:r>
      <w:r w:rsidR="002B2342" w:rsidRPr="00686BEF">
        <w:rPr>
          <w:rFonts w:ascii="Arial" w:hAnsi="Arial" w:cs="Arial"/>
          <w:color w:val="000000" w:themeColor="text1"/>
          <w:sz w:val="22"/>
          <w:szCs w:val="22"/>
        </w:rPr>
        <w:t>mehr als 3.2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 xml:space="preserve">00 Personen sich testen lassen (Stand: </w:t>
      </w:r>
      <w:r w:rsidR="002B2342" w:rsidRPr="00686BEF">
        <w:rPr>
          <w:rFonts w:ascii="Arial" w:hAnsi="Arial" w:cs="Arial"/>
          <w:color w:val="000000" w:themeColor="text1"/>
          <w:sz w:val="22"/>
          <w:szCs w:val="22"/>
        </w:rPr>
        <w:t>April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 xml:space="preserve"> 2025).</w:t>
      </w:r>
    </w:p>
    <w:p w14:paraId="0C7CBDDD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8EF049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>Darüber hinaus entwickelt digiDEM Bayern digitale Angebote für Menschen mit kognitiven Einschränkungen und Demenz sowie für pflegende An- und Zugehörige und ehrenamtliche Helferinnen und Helfer. So gibt es zum Beispiel die „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Angehörigenampel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“, einen kostenlosen, anonymen Selbsttest, der pflegenden An- und Zugehörigen mittels gezielter Fragen den Grad ihrer persönlichen Belastung anzeigt und ihnen damit einen Anstoß zur Veränderung der Lebenssituation gibt. </w:t>
      </w:r>
    </w:p>
    <w:p w14:paraId="1F00E854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8C82EE" w14:textId="1E9F2FDA" w:rsidR="00177F63" w:rsidRPr="00686BEF" w:rsidRDefault="00177F63" w:rsidP="00177F63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Zu den weiteren digitalen Angeboten gehören unter anderem der digitale </w:t>
      </w:r>
      <w:r w:rsidRPr="00686BEF">
        <w:rPr>
          <w:rFonts w:ascii="Arial" w:hAnsi="Arial" w:cs="Arial"/>
          <w:b/>
          <w:bCs/>
          <w:color w:val="000000" w:themeColor="text1"/>
          <w:sz w:val="22"/>
          <w:szCs w:val="22"/>
        </w:rPr>
        <w:t>Präventionscoach</w:t>
      </w:r>
      <w:r w:rsidRPr="00686BEF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, ein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Hörtest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, ein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Wissenstest Demenz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, ein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 xml:space="preserve">Online-Fragebogen, mit dem nahestehende Personen von Betroffenen deren kognitiven Abbau einschätzen können, 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>der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Online-Fragebogen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digiDEM Bayern DEMAND</w:t>
      </w:r>
      <w:r w:rsidRPr="00686BEF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 </w:t>
      </w:r>
      <w:r w:rsidRPr="00686BEF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 sowie der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Science Watch-Newsletter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87AE6B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3AFD10" w14:textId="10167D3B" w:rsidR="00177F63" w:rsidRPr="00686BEF" w:rsidRDefault="00177F63" w:rsidP="00C536FD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Alle Live-Webinare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 können in der digiDEM Bayern-Mediathek auf YouTube hier nachgehört werden: </w:t>
      </w:r>
      <w:hyperlink r:id="rId7" w:tooltip="https://www.youtube.com/playlist?list=PLwZ3lASpioYG473kvkx-ppv1uBsIKStRT" w:history="1">
        <w:r w:rsidRPr="00686BEF">
          <w:rPr>
            <w:rStyle w:val="Hyperlink"/>
            <w:rFonts w:ascii="Arial" w:hAnsi="Arial" w:cs="Arial"/>
            <w:bCs/>
            <w:sz w:val="22"/>
            <w:szCs w:val="22"/>
          </w:rPr>
          <w:t>https://www.youtube.com/playlist?list=PLwZ3lASpioYG473kvkx-ppv1uBsIKStRT</w:t>
        </w:r>
      </w:hyperlink>
      <w:r w:rsidR="00C536FD" w:rsidRPr="00686BEF">
        <w:rPr>
          <w:rFonts w:ascii="Arial" w:hAnsi="Arial" w:cs="Arial"/>
          <w:sz w:val="22"/>
          <w:szCs w:val="22"/>
        </w:rPr>
        <w:t xml:space="preserve">. Die bisher veröffentlichten </w:t>
      </w:r>
      <w:r w:rsidR="00C536FD" w:rsidRPr="00686BEF">
        <w:rPr>
          <w:rFonts w:ascii="Arial" w:hAnsi="Arial" w:cs="Arial"/>
          <w:b/>
          <w:bCs/>
          <w:sz w:val="22"/>
          <w:szCs w:val="22"/>
        </w:rPr>
        <w:t>Newsletter</w:t>
      </w:r>
      <w:r w:rsidR="00C536FD" w:rsidRPr="00686BEF">
        <w:rPr>
          <w:rFonts w:ascii="Arial" w:hAnsi="Arial" w:cs="Arial"/>
          <w:sz w:val="22"/>
          <w:szCs w:val="22"/>
        </w:rPr>
        <w:t xml:space="preserve"> finden sich im Newsletter-Archiv: https://digidem-bayern.de/newsletter-archiv/.</w:t>
      </w:r>
    </w:p>
    <w:p w14:paraId="1B0B1F83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C4B01F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>digiDEM Bayern ist ein interdisziplinäres Forschungsprojekt der Friedrich-Alexander-Universität Erlangen-Nürnberg, des Universitätsklinikums Erlangen und des Innovationsclusters Medical Valley Europäische Metropolregion Nürnberg. Gefördert wird das Projekt vom Bayerischen Staatsministerium für Gesundheit, Pflege und Prävention (</w:t>
      </w:r>
      <w:proofErr w:type="spellStart"/>
      <w:r w:rsidRPr="00686BEF">
        <w:rPr>
          <w:rFonts w:ascii="Arial" w:hAnsi="Arial" w:cs="Arial"/>
          <w:color w:val="000000" w:themeColor="text1"/>
          <w:sz w:val="22"/>
          <w:szCs w:val="22"/>
        </w:rPr>
        <w:t>StMGP</w:t>
      </w:r>
      <w:proofErr w:type="spellEnd"/>
      <w:r w:rsidRPr="00686BEF">
        <w:rPr>
          <w:rFonts w:ascii="Arial" w:hAnsi="Arial" w:cs="Arial"/>
          <w:color w:val="000000" w:themeColor="text1"/>
          <w:sz w:val="22"/>
          <w:szCs w:val="22"/>
        </w:rPr>
        <w:t>) im Rahmen des Masterplans „BAYERN DIGITAL II“.</w:t>
      </w:r>
    </w:p>
    <w:p w14:paraId="58A54C55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6E4620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>Mehr Infos: https://digidem-bayern.de</w:t>
      </w:r>
    </w:p>
    <w:p w14:paraId="50329A5B" w14:textId="77777777" w:rsidR="00177F63" w:rsidRPr="00686BEF" w:rsidRDefault="00177F63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61668BC" w14:textId="77777777" w:rsidR="0014358D" w:rsidRPr="00686BEF" w:rsidRDefault="0014358D" w:rsidP="0014358D">
      <w:pPr>
        <w:rPr>
          <w:rFonts w:ascii="Arial" w:hAnsi="Arial" w:cs="Arial"/>
          <w:sz w:val="22"/>
          <w:szCs w:val="22"/>
        </w:rPr>
      </w:pPr>
    </w:p>
    <w:p w14:paraId="33012468" w14:textId="75DBAAD8" w:rsidR="005C6867" w:rsidRPr="00686BEF" w:rsidRDefault="00E24305" w:rsidP="0014358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86BE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Folgen Sie uns auf Facebook, LinkedIn, Instagram und YouTube. </w:t>
      </w:r>
    </w:p>
    <w:p w14:paraId="4315D5AD" w14:textId="77777777" w:rsidR="00686BEF" w:rsidRDefault="00686BEF">
      <w:pPr>
        <w:rPr>
          <w:rFonts w:ascii="Arial" w:hAnsi="Arial" w:cs="Arial"/>
          <w:color w:val="000000"/>
          <w:sz w:val="22"/>
          <w:szCs w:val="22"/>
        </w:rPr>
      </w:pPr>
    </w:p>
    <w:p w14:paraId="04BD7934" w14:textId="77777777" w:rsidR="00686BEF" w:rsidRDefault="00686BEF">
      <w:pPr>
        <w:rPr>
          <w:rFonts w:ascii="Arial" w:hAnsi="Arial" w:cs="Arial"/>
          <w:color w:val="000000"/>
          <w:sz w:val="22"/>
          <w:szCs w:val="22"/>
        </w:rPr>
      </w:pPr>
    </w:p>
    <w:p w14:paraId="7A4BD9B9" w14:textId="77777777" w:rsidR="00686BEF" w:rsidRDefault="00686BEF">
      <w:pPr>
        <w:rPr>
          <w:rFonts w:asciiTheme="minorHAnsi" w:hAnsiTheme="minorHAnsi" w:cstheme="minorHAnsi"/>
          <w:color w:val="000000"/>
          <w:sz w:val="24"/>
        </w:rPr>
      </w:pPr>
    </w:p>
    <w:p w14:paraId="2BF379BB" w14:textId="77777777" w:rsidR="00177F63" w:rsidRDefault="00177F63" w:rsidP="00177F63">
      <w:pPr>
        <w:spacing w:line="276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color w:val="000000" w:themeColor="text1"/>
          <w:szCs w:val="20"/>
        </w:rPr>
        <w:t>Pressekontakt:</w:t>
      </w:r>
    </w:p>
    <w:p w14:paraId="5CABEB62" w14:textId="77777777" w:rsidR="00D3282F" w:rsidRDefault="00D3282F" w:rsidP="00177F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91C903" w14:textId="79BCD7B3" w:rsidR="00177F63" w:rsidRPr="00353CAF" w:rsidRDefault="00177F63" w:rsidP="00177F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3CAF">
        <w:rPr>
          <w:rFonts w:ascii="Arial" w:hAnsi="Arial" w:cs="Arial"/>
          <w:color w:val="000000" w:themeColor="text1"/>
          <w:sz w:val="20"/>
          <w:szCs w:val="20"/>
        </w:rPr>
        <w:t>Ilona Hörath</w:t>
      </w:r>
    </w:p>
    <w:p w14:paraId="11D935E9" w14:textId="77777777" w:rsidR="00177F63" w:rsidRPr="00353CAF" w:rsidRDefault="00177F63" w:rsidP="00177F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3CAF">
        <w:rPr>
          <w:rFonts w:ascii="Arial" w:hAnsi="Arial" w:cs="Arial"/>
          <w:color w:val="000000" w:themeColor="text1"/>
          <w:sz w:val="20"/>
          <w:szCs w:val="20"/>
        </w:rPr>
        <w:t xml:space="preserve">Pressereferentin </w:t>
      </w:r>
    </w:p>
    <w:p w14:paraId="54F5D980" w14:textId="77777777" w:rsidR="00177F63" w:rsidRPr="00353CAF" w:rsidRDefault="00177F63" w:rsidP="00177F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76A5E3A1" w14:textId="77777777" w:rsidR="00177F63" w:rsidRPr="00353CAF" w:rsidRDefault="00177F63" w:rsidP="00177F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53CAF">
        <w:rPr>
          <w:rFonts w:ascii="Arial" w:hAnsi="Arial" w:cs="Arial"/>
          <w:color w:val="000000" w:themeColor="text1"/>
          <w:sz w:val="20"/>
          <w:szCs w:val="20"/>
        </w:rPr>
        <w:t>Mobil:</w:t>
      </w:r>
      <w:r w:rsidRPr="00353CAF">
        <w:rPr>
          <w:rFonts w:ascii="Arial" w:hAnsi="Arial" w:cs="Arial"/>
          <w:color w:val="000000" w:themeColor="text1"/>
          <w:sz w:val="20"/>
          <w:szCs w:val="20"/>
        </w:rPr>
        <w:tab/>
        <w:t>+49 163-883 884 5</w:t>
      </w:r>
    </w:p>
    <w:p w14:paraId="179AF6D5" w14:textId="77777777" w:rsidR="00353CAF" w:rsidRPr="00353CAF" w:rsidRDefault="00177F63" w:rsidP="00353CAF">
      <w:pPr>
        <w:spacing w:line="276" w:lineRule="auto"/>
        <w:jc w:val="both"/>
        <w:rPr>
          <w:rStyle w:val="Italic"/>
          <w:rFonts w:ascii="Arial" w:eastAsia="Arial" w:hAnsi="Arial" w:cs="Arial"/>
          <w:szCs w:val="20"/>
          <w:u w:val="single"/>
        </w:rPr>
      </w:pPr>
      <w:r w:rsidRPr="00353CAF">
        <w:rPr>
          <w:rFonts w:ascii="Arial" w:hAnsi="Arial" w:cs="Arial"/>
          <w:color w:val="000000" w:themeColor="text1"/>
          <w:szCs w:val="20"/>
        </w:rPr>
        <w:t>E-Mail:</w:t>
      </w:r>
      <w:r w:rsidRPr="00353CAF">
        <w:rPr>
          <w:rFonts w:ascii="Arial" w:hAnsi="Arial" w:cs="Arial"/>
          <w:color w:val="000000" w:themeColor="text1"/>
          <w:szCs w:val="20"/>
        </w:rPr>
        <w:tab/>
      </w:r>
      <w:r w:rsidR="00353CAF" w:rsidRPr="00353CAF">
        <w:rPr>
          <w:rStyle w:val="Italic"/>
          <w:rFonts w:ascii="Arial" w:eastAsia="Arial" w:hAnsi="Arial" w:cs="Arial"/>
          <w:szCs w:val="20"/>
          <w:u w:val="single"/>
        </w:rPr>
        <w:t>Ilona.hoerath@fau.de</w:t>
      </w:r>
    </w:p>
    <w:p w14:paraId="551A996A" w14:textId="7D6718EE" w:rsidR="00177F63" w:rsidRPr="00353CAF" w:rsidRDefault="00177F63" w:rsidP="00177F63">
      <w:pPr>
        <w:pStyle w:val="StandardWeb"/>
        <w:spacing w:before="0" w:beforeAutospacing="0" w:after="0" w:afterAutospacing="0"/>
        <w:rPr>
          <w:rStyle w:val="Hyperlink"/>
          <w:rFonts w:ascii="Arial" w:eastAsia="Arial" w:hAnsi="Arial" w:cs="Arial"/>
          <w:color w:val="000000" w:themeColor="text1"/>
          <w:sz w:val="20"/>
          <w:szCs w:val="20"/>
        </w:rPr>
      </w:pPr>
      <w:r w:rsidRPr="00353CAF">
        <w:rPr>
          <w:rFonts w:ascii="Arial" w:hAnsi="Arial" w:cs="Arial"/>
          <w:color w:val="000000" w:themeColor="text1"/>
          <w:sz w:val="20"/>
          <w:szCs w:val="20"/>
        </w:rPr>
        <w:t>Web:    </w:t>
      </w:r>
      <w:r w:rsidR="00353CAF" w:rsidRPr="00353CAF">
        <w:rPr>
          <w:rFonts w:ascii="Arial" w:hAnsi="Arial" w:cs="Arial"/>
          <w:sz w:val="20"/>
          <w:szCs w:val="20"/>
        </w:rPr>
        <w:t>https://digidem-bayern.de</w:t>
      </w:r>
    </w:p>
    <w:p w14:paraId="4E8E20BB" w14:textId="77777777" w:rsidR="0077002F" w:rsidRDefault="0077002F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3D8A7CC7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36FD">
        <w:rPr>
          <w:rFonts w:ascii="Arial" w:hAnsi="Arial" w:cs="Arial"/>
          <w:b/>
          <w:bCs/>
          <w:color w:val="0099CC"/>
          <w:sz w:val="20"/>
          <w:szCs w:val="20"/>
        </w:rPr>
        <w:t>Digitales Demenzregister Bayern - digiDEM Bayern</w:t>
      </w:r>
    </w:p>
    <w:p w14:paraId="04E1A5C7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36FD">
        <w:rPr>
          <w:rFonts w:ascii="Arial" w:hAnsi="Arial" w:cs="Arial"/>
          <w:sz w:val="20"/>
          <w:szCs w:val="20"/>
        </w:rPr>
        <w:t> </w:t>
      </w:r>
    </w:p>
    <w:p w14:paraId="5FA181B5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36FD">
        <w:rPr>
          <w:rFonts w:ascii="Arial" w:hAnsi="Arial" w:cs="Arial"/>
          <w:color w:val="0099CC"/>
          <w:sz w:val="20"/>
          <w:szCs w:val="20"/>
        </w:rPr>
        <w:t>Interdisziplinäres Zentrum für Health Technology Assessment (HTA) und Public Health</w:t>
      </w:r>
      <w:r w:rsidRPr="00C536FD">
        <w:rPr>
          <w:rFonts w:ascii="Arial" w:hAnsi="Arial" w:cs="Arial"/>
          <w:color w:val="0099CC"/>
          <w:sz w:val="20"/>
          <w:szCs w:val="20"/>
        </w:rPr>
        <w:br/>
        <w:t>Friedrich-Alexander-Universität Erlangen-Nürnberg (IZPH)</w:t>
      </w:r>
      <w:r w:rsidRPr="00C536FD">
        <w:rPr>
          <w:rFonts w:ascii="Arial" w:hAnsi="Arial" w:cs="Arial"/>
          <w:color w:val="0099CC"/>
          <w:sz w:val="20"/>
          <w:szCs w:val="20"/>
        </w:rPr>
        <w:br/>
        <w:t>Nationales Spitzencluster ‚Exzellenzzentrum für Medizintechnik – Medical Valley EMN‘</w:t>
      </w:r>
    </w:p>
    <w:p w14:paraId="51F9E25B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color w:val="0099CC"/>
          <w:sz w:val="20"/>
          <w:szCs w:val="20"/>
        </w:rPr>
      </w:pPr>
      <w:proofErr w:type="spellStart"/>
      <w:r w:rsidRPr="00C536FD">
        <w:rPr>
          <w:rFonts w:ascii="Arial" w:hAnsi="Arial" w:cs="Arial"/>
          <w:color w:val="0099CC"/>
          <w:sz w:val="20"/>
          <w:szCs w:val="20"/>
        </w:rPr>
        <w:t>Schwabachanlage</w:t>
      </w:r>
      <w:proofErr w:type="spellEnd"/>
      <w:r w:rsidRPr="00C536FD">
        <w:rPr>
          <w:rFonts w:ascii="Arial" w:hAnsi="Arial" w:cs="Arial"/>
          <w:color w:val="0099CC"/>
          <w:sz w:val="20"/>
          <w:szCs w:val="20"/>
        </w:rPr>
        <w:t xml:space="preserve"> 6</w:t>
      </w:r>
    </w:p>
    <w:p w14:paraId="7A6DA295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36FD">
        <w:rPr>
          <w:rFonts w:ascii="Arial" w:hAnsi="Arial" w:cs="Arial"/>
          <w:color w:val="0099CC"/>
          <w:sz w:val="20"/>
          <w:szCs w:val="20"/>
        </w:rPr>
        <w:t>91054 Erlangen</w:t>
      </w:r>
    </w:p>
    <w:p w14:paraId="5B03330D" w14:textId="77777777" w:rsidR="0077002F" w:rsidRDefault="0077002F">
      <w:pPr>
        <w:spacing w:line="276" w:lineRule="auto"/>
        <w:jc w:val="both"/>
        <w:rPr>
          <w:rStyle w:val="Italic"/>
          <w:rFonts w:ascii="Calibri" w:eastAsia="Arial" w:hAnsi="Calibri" w:cs="Arial"/>
          <w:sz w:val="24"/>
          <w:u w:val="single"/>
        </w:rPr>
      </w:pPr>
    </w:p>
    <w:p w14:paraId="24CA5C68" w14:textId="77777777" w:rsidR="0077002F" w:rsidRDefault="0077002F">
      <w:pPr>
        <w:jc w:val="both"/>
        <w:rPr>
          <w:rFonts w:ascii="Calibri" w:eastAsia="Arial" w:hAnsi="Calibri" w:cs="Arial"/>
          <w:szCs w:val="20"/>
        </w:rPr>
      </w:pPr>
    </w:p>
    <w:sectPr w:rsidR="0077002F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EB5E" w14:textId="77777777" w:rsidR="00A46160" w:rsidRDefault="00A46160">
      <w:pPr>
        <w:spacing w:line="240" w:lineRule="auto"/>
      </w:pPr>
      <w:r>
        <w:separator/>
      </w:r>
    </w:p>
  </w:endnote>
  <w:endnote w:type="continuationSeparator" w:id="0">
    <w:p w14:paraId="6121D890" w14:textId="77777777" w:rsidR="00A46160" w:rsidRDefault="00A4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taot-norm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ot-normita">
    <w:altName w:val="Calibri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438828135"/>
      <w:docPartObj>
        <w:docPartGallery w:val="Page Numbers (Bottom of Page)"/>
        <w:docPartUnique/>
      </w:docPartObj>
    </w:sdtPr>
    <w:sdtContent>
      <w:p w14:paraId="1ADC3434" w14:textId="70CBCA5A" w:rsidR="00C536FD" w:rsidRDefault="00C536FD" w:rsidP="00D0466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5A5E2F" w14:textId="77777777" w:rsidR="00C536FD" w:rsidRDefault="00C536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656814260"/>
      <w:docPartObj>
        <w:docPartGallery w:val="Page Numbers (Bottom of Page)"/>
        <w:docPartUnique/>
      </w:docPartObj>
    </w:sdtPr>
    <w:sdtContent>
      <w:p w14:paraId="7C3EC8F4" w14:textId="08B0AA71" w:rsidR="00C536FD" w:rsidRDefault="00C536FD" w:rsidP="00D0466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89535C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2259CE70" w14:textId="77777777" w:rsidR="0077002F" w:rsidRDefault="0077002F">
    <w:pPr>
      <w:pStyle w:val="Fuzeile"/>
      <w:jc w:val="center"/>
    </w:pPr>
  </w:p>
  <w:p w14:paraId="6A5167E4" w14:textId="77777777" w:rsidR="0077002F" w:rsidRDefault="0077002F">
    <w:pPr>
      <w:pStyle w:val="Fuzeile"/>
      <w:tabs>
        <w:tab w:val="left" w:pos="42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7101" w14:textId="77777777" w:rsidR="00A46160" w:rsidRDefault="00A46160">
      <w:pPr>
        <w:spacing w:line="240" w:lineRule="auto"/>
      </w:pPr>
      <w:r>
        <w:separator/>
      </w:r>
    </w:p>
  </w:footnote>
  <w:footnote w:type="continuationSeparator" w:id="0">
    <w:p w14:paraId="0E37A135" w14:textId="77777777" w:rsidR="00A46160" w:rsidRDefault="00A46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B71E" w14:textId="77777777" w:rsidR="0077002F" w:rsidRDefault="00871092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F058139" wp14:editId="713B41FE">
              <wp:simplePos x="0" y="0"/>
              <wp:positionH relativeFrom="margin">
                <wp:posOffset>4406895</wp:posOffset>
              </wp:positionH>
              <wp:positionV relativeFrom="paragraph">
                <wp:posOffset>-118739</wp:posOffset>
              </wp:positionV>
              <wp:extent cx="1577340" cy="907409"/>
              <wp:effectExtent l="0" t="0" r="3807" b="6984"/>
              <wp:wrapThrough wrapText="bothSides">
                <wp:wrapPolygon edited="1">
                  <wp:start x="0" y="0"/>
                  <wp:lineTo x="0" y="21312"/>
                  <wp:lineTo x="21380" y="21312"/>
                  <wp:lineTo x="21380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digiDEM_Medic_DR_farbig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7340" cy="907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3360;o:allowoverlap:true;o:allowincell:true;mso-position-horizontal-relative:margin;margin-left:347.0pt;mso-position-horizontal:absolute;mso-position-vertical-relative:text;margin-top:-9.3pt;mso-position-vertical:absolute;width:124.2pt;height:71.4pt;" wrapcoords="0 0 0 98667 98981 98667 98981 0 0 0" stroked="false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4481"/>
    <w:multiLevelType w:val="hybridMultilevel"/>
    <w:tmpl w:val="89C6E688"/>
    <w:lvl w:ilvl="0" w:tplc="936E529C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95B0EFE0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2406625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98940F40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8C1ED89E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B5924296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EB547610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9DA8BCA8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05469520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1" w15:restartNumberingAfterBreak="0">
    <w:nsid w:val="55310EB6"/>
    <w:multiLevelType w:val="hybridMultilevel"/>
    <w:tmpl w:val="0B12FE30"/>
    <w:lvl w:ilvl="0" w:tplc="2BB8AF0C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DF5A35B2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689455BE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AB48958C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BCC0BE06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74B6D818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8A461AB8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8C809608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527A9042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2" w15:restartNumberingAfterBreak="0">
    <w:nsid w:val="681070C3"/>
    <w:multiLevelType w:val="hybridMultilevel"/>
    <w:tmpl w:val="8D6867E6"/>
    <w:lvl w:ilvl="0" w:tplc="45B233D2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7D081094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69D0CBE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872AEB44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1CF8C690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2B26DCE2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66BC950E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CC4AE92A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7A684960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num w:numId="1" w16cid:durableId="1304769123">
    <w:abstractNumId w:val="0"/>
  </w:num>
  <w:num w:numId="2" w16cid:durableId="431710553">
    <w:abstractNumId w:val="2"/>
  </w:num>
  <w:num w:numId="3" w16cid:durableId="202821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F"/>
    <w:rsid w:val="000A4225"/>
    <w:rsid w:val="00107DB8"/>
    <w:rsid w:val="0014358D"/>
    <w:rsid w:val="00146113"/>
    <w:rsid w:val="00175509"/>
    <w:rsid w:val="00177F63"/>
    <w:rsid w:val="002253AE"/>
    <w:rsid w:val="002B2342"/>
    <w:rsid w:val="00333595"/>
    <w:rsid w:val="00353CAF"/>
    <w:rsid w:val="00472EC8"/>
    <w:rsid w:val="00485C95"/>
    <w:rsid w:val="005C36C0"/>
    <w:rsid w:val="005C6867"/>
    <w:rsid w:val="00686BEF"/>
    <w:rsid w:val="0070771D"/>
    <w:rsid w:val="0076204F"/>
    <w:rsid w:val="0077002F"/>
    <w:rsid w:val="00871092"/>
    <w:rsid w:val="0089535C"/>
    <w:rsid w:val="008C09B6"/>
    <w:rsid w:val="008D1695"/>
    <w:rsid w:val="0094579D"/>
    <w:rsid w:val="009B2D3A"/>
    <w:rsid w:val="00A026CC"/>
    <w:rsid w:val="00A46160"/>
    <w:rsid w:val="00C34121"/>
    <w:rsid w:val="00C536FD"/>
    <w:rsid w:val="00D1653C"/>
    <w:rsid w:val="00D24D6B"/>
    <w:rsid w:val="00D3282F"/>
    <w:rsid w:val="00D80BB8"/>
    <w:rsid w:val="00D9281F"/>
    <w:rsid w:val="00E24305"/>
    <w:rsid w:val="00E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DB24"/>
  <w15:docId w15:val="{E0828A44-8C11-4B3F-B15A-503CE98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80" w:lineRule="exact"/>
    </w:pPr>
    <w:rPr>
      <w:rFonts w:ascii="metaot-norm" w:eastAsia="Times New Roman" w:hAnsi="metaot-norm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Italic">
    <w:name w:val="_Italic"/>
    <w:basedOn w:val="Absatz-Standardschriftart"/>
    <w:uiPriority w:val="1"/>
    <w:qFormat/>
    <w:rPr>
      <w:rFonts w:ascii="metaot-normita" w:hAnsi="metaot-normita"/>
    </w:rPr>
  </w:style>
  <w:style w:type="paragraph" w:customStyle="1" w:styleId="Headline">
    <w:name w:val="_Headline"/>
    <w:basedOn w:val="Standard"/>
    <w:qFormat/>
    <w:pPr>
      <w:spacing w:line="340" w:lineRule="exact"/>
    </w:pPr>
    <w:rPr>
      <w:rFonts w:ascii="metaot-normita" w:hAnsi="metaot-normita"/>
      <w:sz w:val="26"/>
      <w:szCs w:val="26"/>
    </w:rPr>
  </w:style>
  <w:style w:type="character" w:styleId="Hyperlink">
    <w:name w:val="Hyperlink"/>
    <w:basedOn w:val="Absatz-Standardschriftart"/>
    <w:uiPriority w:val="99"/>
    <w:rPr>
      <w:color w:val="auto"/>
      <w:u w:val="non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metaot-norm" w:eastAsia="Times New Roman" w:hAnsi="metaot-norm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metaot-norm" w:eastAsia="Times New Roman" w:hAnsi="metaot-norm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docdata">
    <w:name w:val="docdata"/>
    <w:basedOn w:val="Absatz-Standardschriftart"/>
  </w:style>
  <w:style w:type="paragraph" w:customStyle="1" w:styleId="2588">
    <w:name w:val="2588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2702">
    <w:name w:val="22702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ocy">
    <w:name w:val="docy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77F6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C5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wZ3lASpioYG473kvkx-ppv1uBsIKSt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Hörath, Ilona (extern)</dc:creator>
  <cp:lastModifiedBy>Ilona Hörath</cp:lastModifiedBy>
  <cp:revision>7</cp:revision>
  <dcterms:created xsi:type="dcterms:W3CDTF">2025-04-03T12:51:00Z</dcterms:created>
  <dcterms:modified xsi:type="dcterms:W3CDTF">2025-04-04T06:27:00Z</dcterms:modified>
</cp:coreProperties>
</file>